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Bản Kiểm tra Việc Dùng Ma túy số 5 của Trường</w:t>
      </w:r>
      <w:r>
        <w:rPr>
          <w:spacing w:val="-63"/>
        </w:rPr>
        <w:t> </w:t>
      </w:r>
      <w:r>
        <w:rPr/>
        <w:t>Đại học Cơ Đốc giáo Texas (TCU Drug Screen 5, hoặc TCUDS</w:t>
      </w:r>
      <w:r>
        <w:rPr>
          <w:spacing w:val="-3"/>
        </w:rPr>
        <w:t> </w:t>
      </w:r>
      <w:r>
        <w:rPr>
          <w:spacing w:val="-4"/>
        </w:rPr>
        <w:t>5)</w:t>
      </w:r>
    </w:p>
    <w:p>
      <w:pPr>
        <w:spacing w:before="3"/>
        <w:ind w:left="4208" w:right="2622" w:hanging="1340"/>
        <w:jc w:val="left"/>
        <w:rPr>
          <w:i/>
          <w:sz w:val="32"/>
        </w:rPr>
      </w:pPr>
      <w:r>
        <w:rPr>
          <w:i/>
          <w:sz w:val="32"/>
        </w:rPr>
        <w:t>Hướng dẫn cách Ghi điểm</w:t>
      </w:r>
      <w:r>
        <w:rPr>
          <w:i/>
          <w:spacing w:val="-33"/>
          <w:sz w:val="32"/>
        </w:rPr>
        <w:t> </w:t>
      </w:r>
      <w:r>
        <w:rPr>
          <w:i/>
          <w:sz w:val="32"/>
        </w:rPr>
        <w:t>&amp; </w:t>
      </w:r>
      <w:r>
        <w:rPr>
          <w:i/>
          <w:sz w:val="32"/>
        </w:rPr>
        <w:t>Giải thích</w:t>
      </w:r>
    </w:p>
    <w:p>
      <w:pPr>
        <w:pStyle w:val="BodyText"/>
        <w:spacing w:before="124"/>
        <w:ind w:left="200" w:right="205"/>
      </w:pPr>
      <w:r>
        <w:rPr>
          <w:b/>
          <w:u w:val="thick"/>
        </w:rPr>
        <w:t>Hướ</w:t>
      </w:r>
      <w:r>
        <w:rPr>
          <w:b/>
          <w:w w:val="100"/>
          <w:u w:val="thick"/>
        </w:rPr>
        <w:t>ng</w:t>
      </w:r>
      <w:r>
        <w:rPr>
          <w:b/>
          <w:u w:val="thick"/>
        </w:rPr>
        <w:t> </w:t>
      </w:r>
      <w:r>
        <w:rPr>
          <w:b/>
          <w:w w:val="100"/>
          <w:u w:val="thick"/>
        </w:rPr>
        <w:t>d</w:t>
      </w:r>
      <w:r>
        <w:rPr>
          <w:b/>
          <w:u w:val="thick"/>
        </w:rPr>
        <w:t>ẫ</w:t>
      </w:r>
      <w:r>
        <w:rPr>
          <w:b/>
          <w:w w:val="100"/>
          <w:u w:val="thick"/>
        </w:rPr>
        <w:t>n</w:t>
      </w:r>
      <w:r>
        <w:rPr>
          <w:b/>
          <w:u w:val="thick"/>
        </w:rPr>
        <w:t> </w:t>
      </w:r>
      <w:r>
        <w:rPr>
          <w:b/>
          <w:w w:val="99"/>
          <w:u w:val="thick"/>
        </w:rPr>
        <w:t>các</w:t>
      </w:r>
      <w:r>
        <w:rPr>
          <w:b/>
          <w:w w:val="100"/>
          <w:u w:val="thick"/>
        </w:rPr>
        <w:t>h</w:t>
      </w:r>
      <w:r>
        <w:rPr>
          <w:b/>
          <w:u w:val="thick"/>
        </w:rPr>
        <w:t> </w:t>
      </w:r>
      <w:r>
        <w:rPr>
          <w:b/>
          <w:w w:val="100"/>
          <w:u w:val="thick"/>
        </w:rPr>
        <w:t>Gh</w:t>
      </w:r>
      <w:r>
        <w:rPr>
          <w:b/>
          <w:w w:val="100"/>
          <w:u w:val="thick"/>
        </w:rPr>
        <w:t>i</w:t>
      </w:r>
      <w:r>
        <w:rPr>
          <w:b/>
          <w:u w:val="thick"/>
        </w:rPr>
        <w:t> điể</w:t>
      </w:r>
      <w:r>
        <w:rPr>
          <w:b/>
          <w:w w:val="99"/>
          <w:u w:val="thick"/>
        </w:rPr>
        <w:t>m</w:t>
      </w:r>
      <w:r>
        <w:rPr>
          <w:w w:val="95"/>
          <w:sz w:val="2"/>
        </w:rPr>
        <w:t>U</w:t>
      </w:r>
      <w:r>
        <w:rPr>
          <w:b/>
          <w:w w:val="100"/>
        </w:rPr>
        <w:t>.</w:t>
      </w:r>
      <w:r>
        <w:rPr>
          <w:b/>
        </w:rPr>
        <w:t> </w:t>
      </w:r>
      <w:r>
        <w:rPr/>
        <w:t>Bả</w:t>
      </w:r>
      <w:r>
        <w:rPr>
          <w:w w:val="99"/>
        </w:rPr>
        <w:t>n</w:t>
      </w:r>
      <w:r>
        <w:rPr/>
        <w:t> </w:t>
      </w:r>
      <w:r>
        <w:rPr>
          <w:w w:val="99"/>
        </w:rPr>
        <w:t>Ki</w:t>
      </w:r>
      <w:r>
        <w:rPr/>
        <w:t>ểm </w:t>
      </w:r>
      <w:r>
        <w:rPr>
          <w:w w:val="100"/>
        </w:rPr>
        <w:t>t</w:t>
      </w:r>
      <w:r>
        <w:rPr>
          <w:w w:val="99"/>
        </w:rPr>
        <w:t>ra</w:t>
      </w:r>
      <w:r>
        <w:rPr/>
        <w:t> </w:t>
      </w:r>
      <w:r>
        <w:rPr>
          <w:w w:val="99"/>
        </w:rPr>
        <w:t>Vi</w:t>
      </w:r>
      <w:r>
        <w:rPr/>
        <w:t>ệc </w:t>
      </w:r>
      <w:r>
        <w:rPr>
          <w:w w:val="99"/>
        </w:rPr>
        <w:t>Dùng</w:t>
      </w:r>
      <w:r>
        <w:rPr/>
        <w:t> </w:t>
      </w:r>
      <w:r>
        <w:rPr>
          <w:w w:val="99"/>
        </w:rPr>
        <w:t>Ma</w:t>
      </w:r>
      <w:r>
        <w:rPr/>
        <w:t> túy số </w:t>
      </w:r>
      <w:r>
        <w:rPr>
          <w:w w:val="99"/>
        </w:rPr>
        <w:t>5</w:t>
      </w:r>
      <w:r>
        <w:rPr/>
        <w:t> củ</w:t>
      </w:r>
      <w:r>
        <w:rPr>
          <w:w w:val="99"/>
        </w:rPr>
        <w:t>a</w:t>
      </w:r>
      <w:r>
        <w:rPr/>
        <w:t> </w:t>
      </w:r>
      <w:r>
        <w:rPr>
          <w:w w:val="100"/>
        </w:rPr>
        <w:t>T</w:t>
      </w:r>
      <w:r>
        <w:rPr>
          <w:w w:val="99"/>
        </w:rPr>
        <w:t>CU</w:t>
      </w:r>
      <w:r>
        <w:rPr/>
        <w:t> sẽ </w:t>
      </w:r>
      <w:r>
        <w:rPr>
          <w:w w:val="99"/>
        </w:rPr>
        <w:t>ch</w:t>
      </w:r>
      <w:r>
        <w:rPr>
          <w:w w:val="99"/>
        </w:rPr>
        <w:t>o</w:t>
      </w:r>
      <w:r>
        <w:rPr/>
        <w:t> </w:t>
      </w:r>
      <w:r>
        <w:rPr>
          <w:w w:val="99"/>
        </w:rPr>
        <w:t>ra </w:t>
      </w:r>
      <w:r>
        <w:rPr/>
        <w:t>một tổng điểm số trong phạm vi từ 0 đến 11. Để tính tổng điểm số của Bản Kiểm tra Việc Dùng Ma túy số 5 của TCU:</w:t>
      </w:r>
    </w:p>
    <w:p>
      <w:pPr>
        <w:pStyle w:val="ListParagraph"/>
        <w:numPr>
          <w:ilvl w:val="0"/>
          <w:numId w:val="1"/>
        </w:numPr>
        <w:tabs>
          <w:tab w:pos="920" w:val="left" w:leader="none"/>
        </w:tabs>
        <w:spacing w:line="277" w:lineRule="exact" w:before="115" w:after="0"/>
        <w:ind w:left="920" w:right="0" w:hanging="360"/>
        <w:jc w:val="left"/>
        <w:rPr>
          <w:sz w:val="24"/>
        </w:rPr>
      </w:pPr>
      <w:r>
        <w:rPr>
          <w:sz w:val="24"/>
          <w:u w:val="single"/>
        </w:rPr>
        <w:t>Ghi 1 điểm cho mỗi câu trả lời “có”</w:t>
      </w:r>
      <w:r>
        <w:rPr>
          <w:sz w:val="24"/>
        </w:rPr>
        <w:t> cho các câu hỏi từ 1 đến</w:t>
      </w:r>
      <w:r>
        <w:rPr>
          <w:spacing w:val="-10"/>
          <w:sz w:val="24"/>
        </w:rPr>
        <w:t> </w:t>
      </w:r>
      <w:r>
        <w:rPr>
          <w:sz w:val="24"/>
        </w:rPr>
        <w:t>9.</w:t>
      </w:r>
    </w:p>
    <w:p>
      <w:pPr>
        <w:pStyle w:val="ListParagraph"/>
        <w:numPr>
          <w:ilvl w:val="0"/>
          <w:numId w:val="1"/>
        </w:numPr>
        <w:tabs>
          <w:tab w:pos="920" w:val="left" w:leader="none"/>
        </w:tabs>
        <w:spacing w:line="276" w:lineRule="exact" w:before="0" w:after="0"/>
        <w:ind w:left="920" w:right="0" w:hanging="360"/>
        <w:jc w:val="left"/>
        <w:rPr>
          <w:sz w:val="24"/>
        </w:rPr>
      </w:pPr>
      <w:r>
        <w:rPr>
          <w:sz w:val="24"/>
        </w:rPr>
        <w:t>Đối với câu hỏi 10 và</w:t>
      </w:r>
      <w:r>
        <w:rPr>
          <w:spacing w:val="-1"/>
          <w:sz w:val="24"/>
        </w:rPr>
        <w:t> </w:t>
      </w:r>
      <w:r>
        <w:rPr>
          <w:sz w:val="24"/>
        </w:rPr>
        <w:t>11,</w:t>
      </w:r>
    </w:p>
    <w:p>
      <w:pPr>
        <w:pStyle w:val="ListParagraph"/>
        <w:numPr>
          <w:ilvl w:val="1"/>
          <w:numId w:val="1"/>
        </w:numPr>
        <w:tabs>
          <w:tab w:pos="1280" w:val="left" w:leader="none"/>
        </w:tabs>
        <w:spacing w:line="276" w:lineRule="exact" w:before="0" w:after="0"/>
        <w:ind w:left="1280" w:right="0" w:hanging="360"/>
        <w:jc w:val="left"/>
        <w:rPr>
          <w:sz w:val="24"/>
        </w:rPr>
      </w:pPr>
      <w:r>
        <w:rPr>
          <w:sz w:val="24"/>
        </w:rPr>
        <w:t>ghi 1 điểm nếu câu trả lời là “có” cho </w:t>
      </w:r>
      <w:r>
        <w:rPr>
          <w:sz w:val="24"/>
          <w:u w:val="single"/>
        </w:rPr>
        <w:t>hoặc 10a hoặc</w:t>
      </w:r>
      <w:r>
        <w:rPr>
          <w:spacing w:val="-26"/>
          <w:sz w:val="24"/>
          <w:u w:val="single"/>
        </w:rPr>
        <w:t> </w:t>
      </w:r>
      <w:r>
        <w:rPr>
          <w:sz w:val="24"/>
          <w:u w:val="single"/>
        </w:rPr>
        <w:t>10b</w:t>
      </w:r>
      <w:r>
        <w:rPr>
          <w:sz w:val="24"/>
        </w:rPr>
        <w:t>;</w:t>
      </w:r>
    </w:p>
    <w:p>
      <w:pPr>
        <w:pStyle w:val="ListParagraph"/>
        <w:numPr>
          <w:ilvl w:val="1"/>
          <w:numId w:val="1"/>
        </w:numPr>
        <w:tabs>
          <w:tab w:pos="1280" w:val="left" w:leader="none"/>
        </w:tabs>
        <w:spacing w:line="276" w:lineRule="exact" w:before="0" w:after="0"/>
        <w:ind w:left="1280" w:right="0" w:hanging="360"/>
        <w:jc w:val="left"/>
        <w:rPr>
          <w:sz w:val="24"/>
        </w:rPr>
      </w:pPr>
      <w:r>
        <w:rPr>
          <w:sz w:val="24"/>
        </w:rPr>
        <w:t>ghi 1 điểm nếu câu trả lời là “có” cho </w:t>
      </w:r>
      <w:r>
        <w:rPr>
          <w:sz w:val="24"/>
          <w:u w:val="single"/>
        </w:rPr>
        <w:t>hoặc 11a hoặc</w:t>
      </w:r>
      <w:r>
        <w:rPr>
          <w:spacing w:val="-26"/>
          <w:sz w:val="24"/>
          <w:u w:val="single"/>
        </w:rPr>
        <w:t> </w:t>
      </w:r>
      <w:r>
        <w:rPr>
          <w:sz w:val="24"/>
          <w:u w:val="single"/>
        </w:rPr>
        <w:t>11b</w:t>
      </w:r>
      <w:r>
        <w:rPr>
          <w:sz w:val="24"/>
        </w:rPr>
        <w:t>.</w:t>
      </w:r>
    </w:p>
    <w:p>
      <w:pPr>
        <w:pStyle w:val="ListParagraph"/>
        <w:numPr>
          <w:ilvl w:val="0"/>
          <w:numId w:val="1"/>
        </w:numPr>
        <w:tabs>
          <w:tab w:pos="920" w:val="left" w:leader="none"/>
        </w:tabs>
        <w:spacing w:line="240" w:lineRule="auto" w:before="0" w:after="0"/>
        <w:ind w:left="920" w:right="1036" w:hanging="360"/>
        <w:jc w:val="left"/>
        <w:rPr>
          <w:sz w:val="24"/>
        </w:rPr>
      </w:pPr>
      <w:r>
        <w:rPr>
          <w:sz w:val="24"/>
          <w:u w:val="single"/>
        </w:rPr>
        <w:t>Cộng lại các điểm 1 từ các câu trả lời "có" cho các câu hỏi từ 1 đến 11</w:t>
      </w:r>
      <w:r>
        <w:rPr>
          <w:sz w:val="24"/>
        </w:rPr>
        <w:t>, thành một tổng điểm số từ 0 đến</w:t>
      </w:r>
      <w:r>
        <w:rPr>
          <w:spacing w:val="-3"/>
          <w:sz w:val="24"/>
        </w:rPr>
        <w:t> </w:t>
      </w:r>
      <w:r>
        <w:rPr>
          <w:sz w:val="24"/>
        </w:rPr>
        <w:t>11.</w:t>
      </w:r>
    </w:p>
    <w:p>
      <w:pPr>
        <w:pStyle w:val="ListParagraph"/>
        <w:numPr>
          <w:ilvl w:val="0"/>
          <w:numId w:val="1"/>
        </w:numPr>
        <w:tabs>
          <w:tab w:pos="920" w:val="left" w:leader="none"/>
        </w:tabs>
        <w:spacing w:line="240" w:lineRule="auto" w:before="0" w:after="0"/>
        <w:ind w:left="920" w:right="141" w:hanging="360"/>
        <w:jc w:val="left"/>
        <w:rPr>
          <w:sz w:val="24"/>
        </w:rPr>
      </w:pPr>
      <w:r>
        <w:rPr>
          <w:sz w:val="24"/>
          <w:u w:val="single"/>
        </w:rPr>
        <w:t>Lưu ý: các câu hỏi từ 12 đến 17 không được tính vào tổng điểm số của</w:t>
      </w:r>
      <w:r>
        <w:rPr>
          <w:spacing w:val="-29"/>
          <w:sz w:val="24"/>
          <w:u w:val="single"/>
        </w:rPr>
        <w:t> </w:t>
      </w:r>
      <w:r>
        <w:rPr>
          <w:sz w:val="24"/>
          <w:u w:val="single"/>
        </w:rPr>
        <w:t>TCUDS 5</w:t>
      </w:r>
      <w:r>
        <w:rPr>
          <w:sz w:val="24"/>
        </w:rPr>
        <w:t>; chúng nhằm cung cấp thêm thông tin có thể hữu ích trong việc xác định phương hướng điều</w:t>
      </w:r>
      <w:r>
        <w:rPr>
          <w:spacing w:val="-3"/>
          <w:sz w:val="24"/>
        </w:rPr>
        <w:t> </w:t>
      </w:r>
      <w:r>
        <w:rPr>
          <w:sz w:val="24"/>
        </w:rPr>
        <w:t>trị.</w:t>
      </w:r>
    </w:p>
    <w:p>
      <w:pPr>
        <w:spacing w:line="208" w:lineRule="auto" w:before="113"/>
        <w:ind w:left="298" w:right="464" w:firstLine="0"/>
        <w:jc w:val="both"/>
        <w:rPr>
          <w:sz w:val="24"/>
        </w:rPr>
      </w:pPr>
      <w:r>
        <w:rPr>
          <w:b/>
          <w:sz w:val="24"/>
          <w:u w:val="thick"/>
        </w:rPr>
        <w:t>Giải thích Điểm số</w:t>
      </w:r>
      <w:r>
        <w:rPr>
          <w:b/>
          <w:sz w:val="24"/>
        </w:rPr>
        <w:t>. </w:t>
      </w:r>
      <w:r>
        <w:rPr>
          <w:sz w:val="24"/>
        </w:rPr>
        <w:t>Điểm số của Bản Kiểm tra Việc Dùng Ma túy số 5 của TCU được giải thích thể theo các tiêu chí của </w:t>
      </w:r>
      <w:r>
        <w:rPr>
          <w:i/>
          <w:sz w:val="24"/>
        </w:rPr>
        <w:t>Cẩm nang Chẩn đoán và Thống kê </w:t>
      </w:r>
      <w:r>
        <w:rPr>
          <w:i/>
          <w:sz w:val="24"/>
        </w:rPr>
        <w:t>Chứng rối loạn Tâm thần </w:t>
      </w:r>
      <w:r>
        <w:rPr>
          <w:sz w:val="24"/>
        </w:rPr>
        <w:t>(DSM-5), và được dựa trên một chứng rối loạn duy nhất được đo trên thể liên tục từ nhẹ đến nặng như sau:</w:t>
      </w:r>
    </w:p>
    <w:p>
      <w:pPr>
        <w:pStyle w:val="BodyText"/>
        <w:ind w:left="0"/>
        <w:rPr>
          <w:sz w:val="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1"/>
        <w:gridCol w:w="5432"/>
      </w:tblGrid>
      <w:tr>
        <w:trPr>
          <w:trHeight w:val="254" w:hRule="atLeast"/>
        </w:trPr>
        <w:tc>
          <w:tcPr>
            <w:tcW w:w="2981" w:type="dxa"/>
          </w:tcPr>
          <w:p>
            <w:pPr>
              <w:pStyle w:val="TableParagraph"/>
              <w:spacing w:line="234" w:lineRule="exact"/>
              <w:rPr>
                <w:sz w:val="24"/>
              </w:rPr>
            </w:pPr>
            <w:r>
              <w:rPr>
                <w:sz w:val="24"/>
              </w:rPr>
              <w:t>Rối loạn nhẹ:</w:t>
            </w:r>
          </w:p>
        </w:tc>
        <w:tc>
          <w:tcPr>
            <w:tcW w:w="5432" w:type="dxa"/>
          </w:tcPr>
          <w:p>
            <w:pPr>
              <w:pStyle w:val="TableParagraph"/>
              <w:spacing w:line="234" w:lineRule="exact"/>
              <w:ind w:left="365"/>
              <w:rPr>
                <w:sz w:val="24"/>
              </w:rPr>
            </w:pPr>
            <w:r>
              <w:rPr>
                <w:sz w:val="24"/>
              </w:rPr>
              <w:t>2-3 điểm (có 2-3 triệu chứng)</w:t>
            </w:r>
          </w:p>
        </w:tc>
      </w:tr>
      <w:tr>
        <w:trPr>
          <w:trHeight w:val="242" w:hRule="atLeast"/>
        </w:trPr>
        <w:tc>
          <w:tcPr>
            <w:tcW w:w="2981" w:type="dxa"/>
          </w:tcPr>
          <w:p>
            <w:pPr>
              <w:pStyle w:val="TableParagraph"/>
              <w:rPr>
                <w:sz w:val="24"/>
              </w:rPr>
            </w:pPr>
            <w:r>
              <w:rPr>
                <w:sz w:val="24"/>
              </w:rPr>
              <w:t>Rối loạn vừa phải:</w:t>
            </w:r>
          </w:p>
        </w:tc>
        <w:tc>
          <w:tcPr>
            <w:tcW w:w="5432" w:type="dxa"/>
          </w:tcPr>
          <w:p>
            <w:pPr>
              <w:pStyle w:val="TableParagraph"/>
              <w:ind w:left="365"/>
              <w:rPr>
                <w:sz w:val="24"/>
              </w:rPr>
            </w:pPr>
            <w:r>
              <w:rPr>
                <w:sz w:val="24"/>
              </w:rPr>
              <w:t>4-5 điểm (có 4-5 triệu chứng)</w:t>
            </w:r>
          </w:p>
        </w:tc>
      </w:tr>
      <w:tr>
        <w:trPr>
          <w:trHeight w:val="256" w:hRule="atLeast"/>
        </w:trPr>
        <w:tc>
          <w:tcPr>
            <w:tcW w:w="2981" w:type="dxa"/>
          </w:tcPr>
          <w:p>
            <w:pPr>
              <w:pStyle w:val="TableParagraph"/>
              <w:spacing w:line="236" w:lineRule="exact"/>
              <w:rPr>
                <w:sz w:val="24"/>
              </w:rPr>
            </w:pPr>
            <w:r>
              <w:rPr>
                <w:sz w:val="24"/>
              </w:rPr>
              <w:t>Rối loạn nghiêm trọng:</w:t>
            </w:r>
          </w:p>
        </w:tc>
        <w:tc>
          <w:tcPr>
            <w:tcW w:w="5432" w:type="dxa"/>
          </w:tcPr>
          <w:p>
            <w:pPr>
              <w:pStyle w:val="TableParagraph"/>
              <w:spacing w:line="236" w:lineRule="exact"/>
              <w:ind w:left="365"/>
              <w:rPr>
                <w:sz w:val="24"/>
              </w:rPr>
            </w:pPr>
            <w:r>
              <w:rPr>
                <w:sz w:val="24"/>
              </w:rPr>
              <w:t>Từ 6 điểm trở lên (có từ 6 triệu chứng trở lên)</w:t>
            </w:r>
          </w:p>
        </w:tc>
      </w:tr>
    </w:tbl>
    <w:p>
      <w:pPr>
        <w:pStyle w:val="BodyText"/>
        <w:ind w:left="0"/>
        <w:rPr>
          <w:sz w:val="20"/>
        </w:rPr>
      </w:pPr>
    </w:p>
    <w:p>
      <w:pPr>
        <w:pStyle w:val="BodyText"/>
        <w:spacing w:before="2"/>
        <w:ind w:left="0"/>
        <w:rPr>
          <w:sz w:val="22"/>
        </w:rPr>
      </w:pPr>
      <w:r>
        <w:rPr/>
        <w:pict>
          <v:shapetype id="_x0000_t202" o:spt="202" coordsize="21600,21600" path="m,l,21600r21600,l21600,xe">
            <v:stroke joinstyle="miter"/>
            <v:path gradientshapeok="t" o:connecttype="rect"/>
          </v:shapetype>
          <v:shape style="position:absolute;margin-left:67.75pt;margin-top:15.188007pt;width:465.25pt;height:273.5pt;mso-position-horizontal-relative:page;mso-position-vertical-relative:paragraph;z-index:-15728640;mso-wrap-distance-left:0;mso-wrap-distance-right:0" type="#_x0000_t202" filled="false" stroked="true" strokeweight=".82pt" strokecolor="#000000">
            <v:textbox inset="0,0,0,0">
              <w:txbxContent>
                <w:p>
                  <w:pPr>
                    <w:pStyle w:val="BodyText"/>
                    <w:spacing w:before="135"/>
                    <w:ind w:right="162"/>
                  </w:pPr>
                  <w:r>
                    <w:rPr/>
                    <w:t>Bản Kiểm tra Việc Dùng Ma túy số 5 của TCU có thể được sử dụng cho mục đích cá nhân, giáo dục, nghiên cứu và/hoặc thông tin.  Theo đây chúng tôi cho phép việc sao chép và phân phối các bản sao của biểu mẫu này để dùng cho mục đích giáo dục và thư viện phi lợi nhuận, với điều kiện chi phí phân phối bản sao phải bằng hoặc thấp hơn chi phí hiện tại, đồng thời mỗi bản sao phải ghi rõ thông tin về tác giả, nguồn và bản</w:t>
                  </w:r>
                  <w:r>
                    <w:rPr>
                      <w:spacing w:val="2"/>
                    </w:rPr>
                    <w:t> </w:t>
                  </w:r>
                  <w:r>
                    <w:rPr/>
                    <w:t>quyền.</w:t>
                  </w:r>
                </w:p>
                <w:p>
                  <w:pPr>
                    <w:pStyle w:val="BodyText"/>
                    <w:ind w:right="529"/>
                  </w:pPr>
                  <w:r>
                    <w:rPr/>
                    <w:t>Không ai được phép sao chép, tải xuống, lưu trữ trong hệ thống truy hồi, hoặc tái phân phối bất cứ tài liệu nào cho bất cứ mục đích thương mại nào mà không có sự cho phép bằng văn bản của Trường Đại học Cơ Đốc giáo Texas (Texas Christian University). Để tìm hiểu thêm về Bản Kiểm tra Việc Dùng Ma túy số 5 của TCU, vui lòng liên hệ:</w:t>
                  </w:r>
                </w:p>
                <w:p>
                  <w:pPr>
                    <w:pStyle w:val="BodyText"/>
                    <w:spacing w:before="109"/>
                    <w:rPr>
                      <w:rFonts w:ascii="Times New Roman"/>
                    </w:rPr>
                  </w:pPr>
                  <w:r>
                    <w:rPr>
                      <w:rFonts w:ascii="Times New Roman"/>
                    </w:rPr>
                    <w:t>Kevin Knight, Ph.D.</w:t>
                  </w:r>
                </w:p>
                <w:p>
                  <w:pPr>
                    <w:pStyle w:val="BodyText"/>
                    <w:ind w:right="3515"/>
                    <w:rPr>
                      <w:rFonts w:ascii="Times New Roman"/>
                    </w:rPr>
                  </w:pPr>
                  <w:r>
                    <w:rPr>
                      <w:rFonts w:ascii="Times New Roman"/>
                    </w:rPr>
                    <w:t>Institute of Behavioral Research Texas Christian University</w:t>
                  </w:r>
                </w:p>
                <w:p>
                  <w:pPr>
                    <w:pStyle w:val="BodyText"/>
                    <w:rPr>
                      <w:rFonts w:ascii="Times New Roman"/>
                    </w:rPr>
                  </w:pPr>
                  <w:r>
                    <w:rPr>
                      <w:rFonts w:ascii="Times New Roman"/>
                    </w:rPr>
                    <w:t>TCU Box 298740</w:t>
                  </w:r>
                </w:p>
                <w:p>
                  <w:pPr>
                    <w:pStyle w:val="BodyText"/>
                    <w:rPr>
                      <w:rFonts w:ascii="Times New Roman"/>
                    </w:rPr>
                  </w:pPr>
                  <w:r>
                    <w:rPr>
                      <w:rFonts w:ascii="Times New Roman"/>
                    </w:rPr>
                    <w:t>Fort Worth, TX 76129 (817) 257-7226</w:t>
                  </w:r>
                </w:p>
                <w:p>
                  <w:pPr>
                    <w:pStyle w:val="BodyText"/>
                    <w:rPr>
                      <w:rFonts w:ascii="Times New Roman"/>
                    </w:rPr>
                  </w:pPr>
                  <w:r>
                    <w:rPr>
                      <w:rFonts w:ascii="Times New Roman"/>
                    </w:rPr>
                    <w:t>(817) 257-7290 FAX</w:t>
                  </w:r>
                </w:p>
                <w:p>
                  <w:pPr>
                    <w:pStyle w:val="BodyText"/>
                    <w:rPr>
                      <w:rFonts w:ascii="Times New Roman"/>
                    </w:rPr>
                  </w:pPr>
                  <w:r>
                    <w:rPr>
                      <w:rFonts w:ascii="Times New Roman"/>
                    </w:rPr>
                    <w:t>Em</w:t>
                  </w:r>
                  <w:hyperlink r:id="rId5">
                    <w:r>
                      <w:rPr>
                        <w:rFonts w:ascii="Times New Roman"/>
                      </w:rPr>
                      <w:t>ail:</w:t>
                    </w:r>
                    <w:r>
                      <w:rPr>
                        <w:rFonts w:ascii="Times New Roman"/>
                        <w:spacing w:val="59"/>
                      </w:rPr>
                      <w:t> </w:t>
                    </w:r>
                    <w:r>
                      <w:rPr>
                        <w:rFonts w:ascii="Times New Roman"/>
                      </w:rPr>
                      <w:t>ibr@tcu.edu</w:t>
                    </w:r>
                  </w:hyperlink>
                </w:p>
                <w:p>
                  <w:pPr>
                    <w:pStyle w:val="BodyText"/>
                    <w:spacing w:line="239" w:lineRule="exact" w:before="2"/>
                    <w:rPr>
                      <w:rFonts w:ascii="Times New Roman"/>
                    </w:rPr>
                  </w:pPr>
                  <w:hyperlink r:id="rId6">
                    <w:r>
                      <w:rPr>
                        <w:rFonts w:ascii="Times New Roman"/>
                      </w:rPr>
                      <w:t>Web site:</w:t>
                    </w:r>
                    <w:r>
                      <w:rPr>
                        <w:rFonts w:ascii="Times New Roman"/>
                        <w:spacing w:val="59"/>
                      </w:rPr>
                      <w:t> </w:t>
                    </w:r>
                    <w:r>
                      <w:rPr>
                        <w:rFonts w:ascii="Times New Roman"/>
                      </w:rPr>
                      <w:t>www.ibr.tcu.edu</w:t>
                    </w:r>
                  </w:hyperlink>
                </w:p>
              </w:txbxContent>
            </v:textbox>
            <v:stroke dashstyle="solid"/>
            <w10:wrap type="topAndBottom"/>
          </v:shape>
        </w:pict>
      </w:r>
    </w:p>
    <w:p>
      <w:pPr>
        <w:pStyle w:val="BodyText"/>
        <w:spacing w:before="169"/>
        <w:ind w:left="200" w:right="400"/>
      </w:pPr>
      <w:r>
        <w:rPr>
          <w:b/>
        </w:rPr>
        <w:t>Lưu ý: </w:t>
      </w:r>
      <w:r>
        <w:rPr/>
        <w:t>Chúng tôi hiện đang thu thập dữ liệu để xác định các đặc tính tâm lý cho Bản Kiểm tra Việc Dùng Ma túy số 5 của TCU.</w:t>
      </w:r>
    </w:p>
    <w:p>
      <w:pPr>
        <w:spacing w:before="197"/>
        <w:ind w:left="200" w:right="0" w:firstLine="0"/>
        <w:jc w:val="both"/>
        <w:rPr>
          <w:sz w:val="20"/>
        </w:rPr>
      </w:pPr>
      <w:r>
        <w:rPr>
          <w:sz w:val="20"/>
        </w:rPr>
        <w:t>Bản Kiểm tra Việc Dùng Ma túy TCU 5-sg (v. Tháng 2020)</w:t>
      </w:r>
    </w:p>
    <w:p>
      <w:pPr>
        <w:spacing w:before="1"/>
        <w:ind w:left="199" w:right="0" w:firstLine="0"/>
        <w:jc w:val="both"/>
        <w:rPr>
          <w:sz w:val="20"/>
        </w:rPr>
      </w:pPr>
      <w:r>
        <w:rPr>
          <w:sz w:val="20"/>
        </w:rPr>
        <w:t>© Bản quyền 2020 Viện Nghiên cứu Hành vi TCU, Fort Worth, Texas. Bảo lưu mọi quyền.</w:t>
      </w:r>
    </w:p>
    <w:sectPr>
      <w:type w:val="continuous"/>
      <w:pgSz w:w="12240" w:h="15840"/>
      <w:pgMar w:top="340" w:bottom="280" w:left="12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36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80" w:hanging="360"/>
        <w:jc w:val="left"/>
      </w:pPr>
      <w:rPr>
        <w:rFonts w:hint="default" w:ascii="Times New Roman" w:hAnsi="Times New Roman" w:eastAsia="Times New Roman" w:cs="Times New Roman"/>
        <w:spacing w:val="-1"/>
        <w:w w:val="100"/>
        <w:sz w:val="24"/>
        <w:szCs w:val="24"/>
        <w:lang w:val="en-us" w:eastAsia="en-US" w:bidi="ar-SA"/>
      </w:rPr>
    </w:lvl>
    <w:lvl w:ilvl="2">
      <w:start w:val="0"/>
      <w:numFmt w:val="bullet"/>
      <w:lvlText w:val="•"/>
      <w:lvlJc w:val="left"/>
      <w:pPr>
        <w:ind w:left="2195" w:hanging="360"/>
      </w:pPr>
      <w:rPr>
        <w:rFonts w:hint="default"/>
        <w:lang w:val="en-us" w:eastAsia="en-US" w:bidi="ar-SA"/>
      </w:rPr>
    </w:lvl>
    <w:lvl w:ilvl="3">
      <w:start w:val="0"/>
      <w:numFmt w:val="bullet"/>
      <w:lvlText w:val="•"/>
      <w:lvlJc w:val="left"/>
      <w:pPr>
        <w:ind w:left="3111" w:hanging="360"/>
      </w:pPr>
      <w:rPr>
        <w:rFonts w:hint="default"/>
        <w:lang w:val="en-us" w:eastAsia="en-US" w:bidi="ar-SA"/>
      </w:rPr>
    </w:lvl>
    <w:lvl w:ilvl="4">
      <w:start w:val="0"/>
      <w:numFmt w:val="bullet"/>
      <w:lvlText w:val="•"/>
      <w:lvlJc w:val="left"/>
      <w:pPr>
        <w:ind w:left="4026" w:hanging="360"/>
      </w:pPr>
      <w:rPr>
        <w:rFonts w:hint="default"/>
        <w:lang w:val="en-us" w:eastAsia="en-US" w:bidi="ar-SA"/>
      </w:rPr>
    </w:lvl>
    <w:lvl w:ilvl="5">
      <w:start w:val="0"/>
      <w:numFmt w:val="bullet"/>
      <w:lvlText w:val="•"/>
      <w:lvlJc w:val="left"/>
      <w:pPr>
        <w:ind w:left="4942" w:hanging="360"/>
      </w:pPr>
      <w:rPr>
        <w:rFonts w:hint="default"/>
        <w:lang w:val="en-us" w:eastAsia="en-US" w:bidi="ar-SA"/>
      </w:rPr>
    </w:lvl>
    <w:lvl w:ilvl="6">
      <w:start w:val="0"/>
      <w:numFmt w:val="bullet"/>
      <w:lvlText w:val="•"/>
      <w:lvlJc w:val="left"/>
      <w:pPr>
        <w:ind w:left="5857" w:hanging="360"/>
      </w:pPr>
      <w:rPr>
        <w:rFonts w:hint="default"/>
        <w:lang w:val="en-us" w:eastAsia="en-US" w:bidi="ar-SA"/>
      </w:rPr>
    </w:lvl>
    <w:lvl w:ilvl="7">
      <w:start w:val="0"/>
      <w:numFmt w:val="bullet"/>
      <w:lvlText w:val="•"/>
      <w:lvlJc w:val="left"/>
      <w:pPr>
        <w:ind w:left="6773"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8"/>
    </w:pPr>
    <w:rPr>
      <w:rFonts w:ascii="Arial" w:hAnsi="Arial" w:eastAsia="Arial" w:cs="Arial"/>
      <w:sz w:val="24"/>
      <w:szCs w:val="24"/>
      <w:lang w:val="en-us" w:eastAsia="en-US" w:bidi="ar-SA"/>
    </w:rPr>
  </w:style>
  <w:style w:styleId="Title" w:type="paragraph">
    <w:name w:val="Title"/>
    <w:basedOn w:val="Normal"/>
    <w:uiPriority w:val="1"/>
    <w:qFormat/>
    <w:pPr>
      <w:spacing w:before="73"/>
      <w:ind w:left="286" w:right="338"/>
      <w:jc w:val="center"/>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line="276" w:lineRule="exact"/>
      <w:ind w:left="920" w:hanging="360"/>
    </w:pPr>
    <w:rPr>
      <w:rFonts w:ascii="Arial" w:hAnsi="Arial" w:eastAsia="Arial" w:cs="Arial"/>
      <w:lang w:val="en-us" w:eastAsia="en-US" w:bidi="ar-SA"/>
    </w:rPr>
  </w:style>
  <w:style w:styleId="TableParagraph" w:type="paragraph">
    <w:name w:val="Table Paragraph"/>
    <w:basedOn w:val="Normal"/>
    <w:uiPriority w:val="1"/>
    <w:qFormat/>
    <w:pPr>
      <w:spacing w:line="222" w:lineRule="exact"/>
      <w:ind w:left="20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5-sg (v.Sept14).docx</dc:title>
  <dcterms:created xsi:type="dcterms:W3CDTF">2020-09-07T19:54:56Z</dcterms:created>
  <dcterms:modified xsi:type="dcterms:W3CDTF">2020-09-07T19:54:56Z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2020-09-07T00:00:00Z</vt:filetime>
  </property>
</Properties>
</file>