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PRUEBA DE DROGAS 5 DE LA TCU</w:t>
      </w:r>
    </w:p>
    <w:p>
      <w:pPr>
        <w:spacing w:line="240" w:lineRule="auto" w:before="0"/>
        <w:ind w:left="2875" w:right="2478" w:firstLine="0"/>
        <w:jc w:val="center"/>
        <w:rPr>
          <w:i/>
          <w:sz w:val="32"/>
        </w:rPr>
      </w:pPr>
      <w:r>
        <w:rPr>
          <w:i/>
          <w:sz w:val="32"/>
        </w:rPr>
        <w:t>Guía de puntuación e </w:t>
      </w:r>
      <w:r>
        <w:rPr>
          <w:i/>
          <w:sz w:val="32"/>
        </w:rPr>
        <w:t>interpretación</w:t>
      </w:r>
    </w:p>
    <w:p>
      <w:pPr>
        <w:pStyle w:val="BodyText"/>
        <w:spacing w:before="120"/>
        <w:ind w:left="200"/>
      </w:pPr>
      <w:r>
        <w:rPr>
          <w:b/>
          <w:u w:val="thick"/>
        </w:rPr>
        <w:t>Instrucciones de puntuación</w:t>
      </w:r>
      <w:r>
        <w:rPr>
          <w:b/>
        </w:rPr>
        <w:t>. </w:t>
      </w:r>
      <w:r>
        <w:rPr/>
        <w:t>La prueba de drogas 5 de la TCU (The TCU Drug Screen 5) se califica para producir una puntuación total única que puede ir de 0 a 11. Para calcular la puntuación total de la Prueba de drogas 5 de la TCU:</w:t>
      </w:r>
    </w:p>
    <w:p>
      <w:pPr>
        <w:pStyle w:val="ListParagraph"/>
        <w:numPr>
          <w:ilvl w:val="0"/>
          <w:numId w:val="1"/>
        </w:numPr>
        <w:tabs>
          <w:tab w:pos="920" w:val="left" w:leader="none"/>
        </w:tabs>
        <w:spacing w:line="240" w:lineRule="auto" w:before="115" w:after="0"/>
        <w:ind w:left="920" w:right="0" w:hanging="360"/>
        <w:jc w:val="left"/>
        <w:rPr>
          <w:sz w:val="24"/>
        </w:rPr>
      </w:pPr>
      <w:r>
        <w:rPr>
          <w:sz w:val="24"/>
          <w:u w:val="single"/>
        </w:rPr>
        <w:t>Asigne 1 punto por cada respuesta “sí”</w:t>
      </w:r>
      <w:r>
        <w:rPr>
          <w:sz w:val="24"/>
        </w:rPr>
        <w:t> en las preguntas 1 a</w:t>
      </w:r>
      <w:r>
        <w:rPr>
          <w:spacing w:val="-4"/>
          <w:sz w:val="24"/>
        </w:rPr>
        <w:t> </w:t>
      </w:r>
      <w:r>
        <w:rPr>
          <w:sz w:val="24"/>
        </w:rPr>
        <w:t>9.</w:t>
      </w:r>
    </w:p>
    <w:p>
      <w:pPr>
        <w:pStyle w:val="ListParagraph"/>
        <w:numPr>
          <w:ilvl w:val="0"/>
          <w:numId w:val="1"/>
        </w:numPr>
        <w:tabs>
          <w:tab w:pos="920" w:val="left" w:leader="none"/>
        </w:tabs>
        <w:spacing w:line="240" w:lineRule="auto" w:before="0" w:after="0"/>
        <w:ind w:left="920" w:right="0" w:hanging="360"/>
        <w:jc w:val="left"/>
        <w:rPr>
          <w:sz w:val="24"/>
        </w:rPr>
      </w:pPr>
      <w:r>
        <w:rPr>
          <w:sz w:val="24"/>
        </w:rPr>
        <w:t>Para las preguntas 10 y</w:t>
      </w:r>
      <w:r>
        <w:rPr>
          <w:spacing w:val="-3"/>
          <w:sz w:val="24"/>
        </w:rPr>
        <w:t> </w:t>
      </w:r>
      <w:r>
        <w:rPr>
          <w:sz w:val="24"/>
        </w:rPr>
        <w:t>11,</w:t>
      </w:r>
    </w:p>
    <w:p>
      <w:pPr>
        <w:pStyle w:val="ListParagraph"/>
        <w:numPr>
          <w:ilvl w:val="1"/>
          <w:numId w:val="1"/>
        </w:numPr>
        <w:tabs>
          <w:tab w:pos="1280" w:val="left" w:leader="none"/>
        </w:tabs>
        <w:spacing w:line="240" w:lineRule="auto" w:before="0" w:after="0"/>
        <w:ind w:left="1280" w:right="0" w:hanging="360"/>
        <w:jc w:val="left"/>
        <w:rPr>
          <w:sz w:val="24"/>
        </w:rPr>
      </w:pPr>
      <w:r>
        <w:rPr>
          <w:sz w:val="24"/>
        </w:rPr>
        <w:t>asigne 1 punto si la persona responde “sí” a </w:t>
      </w:r>
      <w:r>
        <w:rPr>
          <w:sz w:val="24"/>
          <w:u w:val="single"/>
        </w:rPr>
        <w:t>la pregunta 10a o</w:t>
      </w:r>
      <w:r>
        <w:rPr>
          <w:spacing w:val="-12"/>
          <w:sz w:val="24"/>
          <w:u w:val="single"/>
        </w:rPr>
        <w:t> </w:t>
      </w:r>
      <w:r>
        <w:rPr>
          <w:sz w:val="24"/>
          <w:u w:val="single"/>
        </w:rPr>
        <w:t>10b</w:t>
      </w:r>
      <w:r>
        <w:rPr>
          <w:sz w:val="24"/>
        </w:rPr>
        <w:t>;</w:t>
      </w:r>
    </w:p>
    <w:p>
      <w:pPr>
        <w:pStyle w:val="ListParagraph"/>
        <w:numPr>
          <w:ilvl w:val="1"/>
          <w:numId w:val="1"/>
        </w:numPr>
        <w:tabs>
          <w:tab w:pos="1280" w:val="left" w:leader="none"/>
        </w:tabs>
        <w:spacing w:line="240" w:lineRule="auto" w:before="1" w:after="0"/>
        <w:ind w:left="1280" w:right="0" w:hanging="360"/>
        <w:jc w:val="left"/>
        <w:rPr>
          <w:sz w:val="24"/>
        </w:rPr>
      </w:pPr>
      <w:r>
        <w:rPr>
          <w:sz w:val="24"/>
        </w:rPr>
        <w:t>asigne 1 punto si la persona responde “sí” a </w:t>
      </w:r>
      <w:r>
        <w:rPr>
          <w:sz w:val="24"/>
          <w:u w:val="single"/>
        </w:rPr>
        <w:t>la pregunta 11a u</w:t>
      </w:r>
      <w:r>
        <w:rPr>
          <w:spacing w:val="-12"/>
          <w:sz w:val="24"/>
          <w:u w:val="single"/>
        </w:rPr>
        <w:t> </w:t>
      </w:r>
      <w:r>
        <w:rPr>
          <w:sz w:val="24"/>
          <w:u w:val="single"/>
        </w:rPr>
        <w:t>11b</w:t>
      </w:r>
      <w:r>
        <w:rPr>
          <w:sz w:val="24"/>
        </w:rPr>
        <w:t>;</w:t>
      </w:r>
    </w:p>
    <w:p>
      <w:pPr>
        <w:pStyle w:val="ListParagraph"/>
        <w:numPr>
          <w:ilvl w:val="0"/>
          <w:numId w:val="1"/>
        </w:numPr>
        <w:tabs>
          <w:tab w:pos="920" w:val="left" w:leader="none"/>
        </w:tabs>
        <w:spacing w:line="240" w:lineRule="auto" w:before="0" w:after="0"/>
        <w:ind w:left="920" w:right="1275" w:hanging="360"/>
        <w:jc w:val="left"/>
        <w:rPr>
          <w:sz w:val="24"/>
        </w:rPr>
      </w:pPr>
      <w:r>
        <w:rPr>
          <w:sz w:val="24"/>
          <w:u w:val="single"/>
        </w:rPr>
        <w:t>Sume 1 punto por cada respuesta “sí” en las preguntas 1 a 11</w:t>
      </w:r>
      <w:r>
        <w:rPr>
          <w:sz w:val="24"/>
        </w:rPr>
        <w:t>, para</w:t>
      </w:r>
      <w:r>
        <w:rPr>
          <w:spacing w:val="-13"/>
          <w:sz w:val="24"/>
        </w:rPr>
        <w:t> </w:t>
      </w:r>
      <w:r>
        <w:rPr>
          <w:sz w:val="24"/>
        </w:rPr>
        <w:t>obtener puntuación total que va de 0 a</w:t>
      </w:r>
      <w:r>
        <w:rPr>
          <w:spacing w:val="-5"/>
          <w:sz w:val="24"/>
        </w:rPr>
        <w:t> </w:t>
      </w:r>
      <w:r>
        <w:rPr>
          <w:sz w:val="24"/>
        </w:rPr>
        <w:t>11.</w:t>
      </w:r>
    </w:p>
    <w:p>
      <w:pPr>
        <w:pStyle w:val="ListParagraph"/>
        <w:numPr>
          <w:ilvl w:val="0"/>
          <w:numId w:val="1"/>
        </w:numPr>
        <w:tabs>
          <w:tab w:pos="920" w:val="left" w:leader="none"/>
        </w:tabs>
        <w:spacing w:line="240" w:lineRule="auto" w:before="0" w:after="0"/>
        <w:ind w:left="920" w:right="290" w:hanging="360"/>
        <w:jc w:val="left"/>
        <w:rPr>
          <w:sz w:val="24"/>
        </w:rPr>
      </w:pPr>
      <w:r>
        <w:rPr>
          <w:sz w:val="24"/>
          <w:u w:val="single"/>
        </w:rPr>
        <w:t>Tome en cuenta que las preguntas 12 a 17 no están incluidas como parte de la puntuación total de la TCUDS V</w:t>
      </w:r>
      <w:r>
        <w:rPr>
          <w:sz w:val="24"/>
        </w:rPr>
        <w:t>; proporcionan información adicional que podría</w:t>
      </w:r>
      <w:r>
        <w:rPr>
          <w:spacing w:val="-19"/>
          <w:sz w:val="24"/>
        </w:rPr>
        <w:t> </w:t>
      </w:r>
      <w:r>
        <w:rPr>
          <w:sz w:val="24"/>
        </w:rPr>
        <w:t>ser útil para tomar decisiones sobre el</w:t>
      </w:r>
      <w:r>
        <w:rPr>
          <w:spacing w:val="-4"/>
          <w:sz w:val="24"/>
        </w:rPr>
        <w:t> </w:t>
      </w:r>
      <w:r>
        <w:rPr>
          <w:sz w:val="24"/>
        </w:rPr>
        <w:t>tratamiento.</w:t>
      </w:r>
    </w:p>
    <w:p>
      <w:pPr>
        <w:spacing w:line="208" w:lineRule="auto" w:before="120"/>
        <w:ind w:left="298" w:right="307" w:firstLine="0"/>
        <w:jc w:val="both"/>
        <w:rPr>
          <w:sz w:val="24"/>
        </w:rPr>
      </w:pPr>
      <w:r>
        <w:rPr>
          <w:b/>
          <w:sz w:val="24"/>
          <w:u w:val="thick"/>
        </w:rPr>
        <w:t>Cómo interpretar la puntuación</w:t>
      </w:r>
      <w:r>
        <w:rPr>
          <w:b/>
          <w:sz w:val="24"/>
        </w:rPr>
        <w:t>. </w:t>
      </w:r>
      <w:r>
        <w:rPr>
          <w:sz w:val="24"/>
        </w:rPr>
        <w:t>La interpretación de la puntuación de la Prueba de drogas 5 de la TCU corresponde a los criterios del </w:t>
      </w:r>
      <w:r>
        <w:rPr>
          <w:i/>
          <w:sz w:val="24"/>
        </w:rPr>
        <w:t>Manual diagnóstico y estadístico de los </w:t>
      </w:r>
      <w:r>
        <w:rPr>
          <w:i/>
          <w:sz w:val="24"/>
        </w:rPr>
        <w:t>trastornos mentales </w:t>
      </w:r>
      <w:r>
        <w:rPr>
          <w:sz w:val="24"/>
        </w:rPr>
        <w:t>(DSM-5) y está basada en un solo trastorno medido en la siguiente escala de leve a severo.</w:t>
      </w:r>
    </w:p>
    <w:p>
      <w:pPr>
        <w:pStyle w:val="BodyText"/>
        <w:spacing w:before="2"/>
        <w:ind w:left="0"/>
        <w:rPr>
          <w:sz w:val="9"/>
        </w:rPr>
      </w:pPr>
    </w:p>
    <w:tbl>
      <w:tblPr>
        <w:tblW w:w="0" w:type="auto"/>
        <w:jc w:val="lef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12"/>
        <w:gridCol w:w="6488"/>
      </w:tblGrid>
      <w:tr>
        <w:trPr>
          <w:trHeight w:val="252" w:hRule="atLeast"/>
        </w:trPr>
        <w:tc>
          <w:tcPr>
            <w:tcW w:w="2512" w:type="dxa"/>
          </w:tcPr>
          <w:p>
            <w:pPr>
              <w:pStyle w:val="TableParagraph"/>
              <w:spacing w:line="233" w:lineRule="exact"/>
              <w:rPr>
                <w:sz w:val="24"/>
              </w:rPr>
            </w:pPr>
            <w:r>
              <w:rPr>
                <w:sz w:val="24"/>
              </w:rPr>
              <w:t>Trastorno leve:</w:t>
            </w:r>
          </w:p>
        </w:tc>
        <w:tc>
          <w:tcPr>
            <w:tcW w:w="6488" w:type="dxa"/>
          </w:tcPr>
          <w:p>
            <w:pPr>
              <w:pStyle w:val="TableParagraph"/>
              <w:spacing w:line="233" w:lineRule="exact"/>
              <w:ind w:left="294"/>
              <w:rPr>
                <w:sz w:val="24"/>
              </w:rPr>
            </w:pPr>
            <w:r>
              <w:rPr>
                <w:sz w:val="24"/>
              </w:rPr>
              <w:t>puntuación de 2 a 3 puntos (presencia de 2 o 3 síntomas)</w:t>
            </w:r>
          </w:p>
        </w:tc>
      </w:tr>
      <w:tr>
        <w:trPr>
          <w:trHeight w:val="242" w:hRule="atLeast"/>
        </w:trPr>
        <w:tc>
          <w:tcPr>
            <w:tcW w:w="2512" w:type="dxa"/>
          </w:tcPr>
          <w:p>
            <w:pPr>
              <w:pStyle w:val="TableParagraph"/>
              <w:rPr>
                <w:sz w:val="24"/>
              </w:rPr>
            </w:pPr>
            <w:r>
              <w:rPr>
                <w:sz w:val="24"/>
              </w:rPr>
              <w:t>Trastorno moderado:</w:t>
            </w:r>
          </w:p>
        </w:tc>
        <w:tc>
          <w:tcPr>
            <w:tcW w:w="6488" w:type="dxa"/>
          </w:tcPr>
          <w:p>
            <w:pPr>
              <w:pStyle w:val="TableParagraph"/>
              <w:ind w:left="294"/>
              <w:rPr>
                <w:sz w:val="24"/>
              </w:rPr>
            </w:pPr>
            <w:r>
              <w:rPr>
                <w:sz w:val="24"/>
              </w:rPr>
              <w:t>puntuación de 4 a 5 puntos (presencia de 4 o 5 síntomas)</w:t>
            </w:r>
          </w:p>
        </w:tc>
      </w:tr>
      <w:tr>
        <w:trPr>
          <w:trHeight w:val="255" w:hRule="atLeast"/>
        </w:trPr>
        <w:tc>
          <w:tcPr>
            <w:tcW w:w="2512" w:type="dxa"/>
          </w:tcPr>
          <w:p>
            <w:pPr>
              <w:pStyle w:val="TableParagraph"/>
              <w:spacing w:line="235" w:lineRule="exact"/>
              <w:rPr>
                <w:sz w:val="24"/>
              </w:rPr>
            </w:pPr>
            <w:r>
              <w:rPr>
                <w:sz w:val="24"/>
              </w:rPr>
              <w:t>Trastorno severo:</w:t>
            </w:r>
          </w:p>
        </w:tc>
        <w:tc>
          <w:tcPr>
            <w:tcW w:w="6488" w:type="dxa"/>
          </w:tcPr>
          <w:p>
            <w:pPr>
              <w:pStyle w:val="TableParagraph"/>
              <w:spacing w:line="235" w:lineRule="exact"/>
              <w:ind w:left="294"/>
              <w:rPr>
                <w:sz w:val="24"/>
              </w:rPr>
            </w:pPr>
            <w:r>
              <w:rPr>
                <w:sz w:val="24"/>
              </w:rPr>
              <w:t>puntuación de 6 o más puntos (presencia de 6 o más síntomas)</w:t>
            </w:r>
          </w:p>
        </w:tc>
      </w:tr>
    </w:tbl>
    <w:p>
      <w:pPr>
        <w:pStyle w:val="BodyText"/>
        <w:ind w:left="0"/>
        <w:rPr>
          <w:sz w:val="7"/>
        </w:rPr>
      </w:pPr>
      <w:r>
        <w:rPr/>
        <w:pict>
          <v:shapetype id="_x0000_t202" o:spt="202" coordsize="21600,21600" path="m,l,21600r21600,l21600,xe">
            <v:stroke joinstyle="miter"/>
            <v:path gradientshapeok="t" o:connecttype="rect"/>
          </v:shapetype>
          <v:shape style="position:absolute;margin-left:120.150002pt;margin-top:6.434297pt;width:371.65pt;height:310.75pt;mso-position-horizontal-relative:page;mso-position-vertical-relative:paragraph;z-index:-15728640;mso-wrap-distance-left:0;mso-wrap-distance-right:0" type="#_x0000_t202" filled="false" stroked="true" strokeweight=".82pt" strokecolor="#000000">
            <v:textbox inset="0,0,0,0">
              <w:txbxContent>
                <w:p>
                  <w:pPr>
                    <w:pStyle w:val="BodyText"/>
                    <w:spacing w:before="129"/>
                    <w:ind w:right="197"/>
                  </w:pPr>
                  <w:r>
                    <w:rPr/>
                    <w:t>La Prueba de drogas 5 de la TCU puede usarse para fines personales, educativos, de investigación y/o informativos. Por el presente, se otorga permiso para reproducir y distribuir copias de este formulario para fines educativos o bibliotecarios sin fines de lucro, siempre y cuando las copias se distribuyan a precio de costo o por debajo del mismo y se incluya el crédito al autor, la fuente y los derechos de autor (copyright) en cada copia.</w:t>
                  </w:r>
                </w:p>
                <w:p>
                  <w:pPr>
                    <w:pStyle w:val="BodyText"/>
                    <w:ind w:right="697"/>
                  </w:pPr>
                  <w:r>
                    <w:rPr/>
                    <w:t>Ningún material podrá copiarse, descargarse, almacenarse en un sistema de recuperación ni redistribuirse con fines comerciales sin el expreso consentimiento por escrito de la Universidad Cristiana de Texas (Texas Christian University). Para obtener más información sobre la Prueba de drogas 5 de la TCU, comuníquese con:</w:t>
                  </w:r>
                </w:p>
                <w:p>
                  <w:pPr>
                    <w:pStyle w:val="BodyText"/>
                    <w:spacing w:before="116"/>
                  </w:pPr>
                  <w:r>
                    <w:rPr/>
                    <w:t>Kevin Knight, Ph.D.</w:t>
                  </w:r>
                </w:p>
                <w:p>
                  <w:pPr>
                    <w:pStyle w:val="BodyText"/>
                    <w:ind w:right="4210"/>
                  </w:pPr>
                  <w:r>
                    <w:rPr/>
                    <w:t>Institute of Behavioral</w:t>
                  </w:r>
                  <w:r>
                    <w:rPr>
                      <w:spacing w:val="-11"/>
                    </w:rPr>
                    <w:t> </w:t>
                  </w:r>
                  <w:r>
                    <w:rPr/>
                    <w:t>Research Texas Christian University TCU Box</w:t>
                  </w:r>
                  <w:r>
                    <w:rPr>
                      <w:spacing w:val="-4"/>
                    </w:rPr>
                    <w:t> </w:t>
                  </w:r>
                  <w:r>
                    <w:rPr/>
                    <w:t>298740</w:t>
                  </w:r>
                </w:p>
                <w:p>
                  <w:pPr>
                    <w:pStyle w:val="BodyText"/>
                    <w:ind w:right="4635"/>
                  </w:pPr>
                  <w:r>
                    <w:rPr/>
                    <w:t>Fort Worth, TX 76129 (817) 257-7226</w:t>
                  </w:r>
                </w:p>
                <w:p>
                  <w:pPr>
                    <w:pStyle w:val="BodyText"/>
                  </w:pPr>
                  <w:r>
                    <w:rPr/>
                    <w:t>(817) 257-7290 FAX</w:t>
                  </w:r>
                </w:p>
                <w:p>
                  <w:pPr>
                    <w:pStyle w:val="BodyText"/>
                    <w:spacing w:line="242" w:lineRule="auto" w:before="5"/>
                    <w:ind w:right="2907"/>
                  </w:pPr>
                  <w:r>
                    <w:rPr/>
                    <w:t>Env</w:t>
                  </w:r>
                  <w:r>
                    <w:rPr>
                      <w:rFonts w:ascii="Calibri" w:hAnsi="Calibri"/>
                    </w:rPr>
                    <w:t>í</w:t>
                  </w:r>
                  <w:r>
                    <w:rPr/>
                    <w:t>e un correo electr</w:t>
                  </w:r>
                  <w:r>
                    <w:rPr>
                      <w:rFonts w:ascii="Calibri" w:hAnsi="Calibri"/>
                    </w:rPr>
                    <w:t>ó</w:t>
                  </w:r>
                  <w:r>
                    <w:rPr/>
                    <w:t>nico: </w:t>
                  </w:r>
                  <w:hyperlink r:id="rId5">
                    <w:r>
                      <w:rPr/>
                      <w:t>ibr@tcu.edu</w:t>
                    </w:r>
                  </w:hyperlink>
                  <w:r>
                    <w:rPr/>
                    <w:t> Sitio web: </w:t>
                  </w:r>
                  <w:hyperlink r:id="rId6">
                    <w:r>
                      <w:rPr/>
                      <w:t>www.ibr.tcu.edu</w:t>
                    </w:r>
                  </w:hyperlink>
                </w:p>
              </w:txbxContent>
            </v:textbox>
            <v:stroke dashstyle="solid"/>
            <w10:wrap type="topAndBottom"/>
          </v:shape>
        </w:pict>
      </w:r>
    </w:p>
    <w:p>
      <w:pPr>
        <w:pStyle w:val="BodyText"/>
        <w:spacing w:before="170"/>
        <w:ind w:left="200" w:right="203"/>
      </w:pPr>
      <w:r>
        <w:rPr>
          <w:b/>
        </w:rPr>
        <w:t>Nota: </w:t>
      </w:r>
      <w:r>
        <w:rPr/>
        <w:t>Se están recopilando datos actualmente para establecer las propiedades psicosométricas de la Prueba de drogas 5 de la TCU.</w:t>
      </w:r>
    </w:p>
    <w:p>
      <w:pPr>
        <w:spacing w:before="201"/>
        <w:ind w:left="200" w:right="0" w:firstLine="0"/>
        <w:jc w:val="both"/>
        <w:rPr>
          <w:sz w:val="20"/>
        </w:rPr>
      </w:pPr>
      <w:r>
        <w:rPr>
          <w:sz w:val="20"/>
        </w:rPr>
        <w:t>Prueba de drogas 5-sg de la TCU (v.sept20)</w:t>
      </w:r>
    </w:p>
    <w:p>
      <w:pPr>
        <w:spacing w:before="0"/>
        <w:ind w:left="200" w:right="0" w:firstLine="0"/>
        <w:jc w:val="both"/>
        <w:rPr>
          <w:sz w:val="20"/>
        </w:rPr>
      </w:pPr>
      <w:r>
        <w:rPr>
          <w:sz w:val="20"/>
        </w:rPr>
        <w:t>© Copyright 2020 TCU Institute of Behavioral Research, Fort Worth, Texas. Todos los derechos reservados.</w:t>
      </w:r>
    </w:p>
    <w:sectPr>
      <w:type w:val="continuous"/>
      <w:pgSz w:w="12240" w:h="15840"/>
      <w:pgMar w:top="260" w:bottom="280" w:left="124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20" w:hanging="360"/>
        <w:jc w:val="left"/>
      </w:pPr>
      <w:rPr>
        <w:rFonts w:hint="default" w:ascii="Times New Roman" w:hAnsi="Times New Roman" w:eastAsia="Times New Roman" w:cs="Times New Roman"/>
        <w:w w:val="100"/>
        <w:sz w:val="24"/>
        <w:szCs w:val="24"/>
      </w:rPr>
    </w:lvl>
    <w:lvl w:ilvl="1">
      <w:start w:val="1"/>
      <w:numFmt w:val="lowerLetter"/>
      <w:lvlText w:val="%2."/>
      <w:lvlJc w:val="left"/>
      <w:pPr>
        <w:ind w:left="1280" w:hanging="360"/>
        <w:jc w:val="left"/>
      </w:pPr>
      <w:rPr>
        <w:rFonts w:hint="default" w:ascii="Times New Roman" w:hAnsi="Times New Roman" w:eastAsia="Times New Roman" w:cs="Times New Roman"/>
        <w:spacing w:val="-1"/>
        <w:w w:val="100"/>
        <w:sz w:val="24"/>
        <w:szCs w:val="24"/>
      </w:rPr>
    </w:lvl>
    <w:lvl w:ilvl="2">
      <w:start w:val="0"/>
      <w:numFmt w:val="bullet"/>
      <w:lvlText w:val="•"/>
      <w:lvlJc w:val="left"/>
      <w:pPr>
        <w:ind w:left="2177" w:hanging="360"/>
      </w:pPr>
      <w:rPr>
        <w:rFonts w:hint="default"/>
      </w:rPr>
    </w:lvl>
    <w:lvl w:ilvl="3">
      <w:start w:val="0"/>
      <w:numFmt w:val="bullet"/>
      <w:lvlText w:val="•"/>
      <w:lvlJc w:val="left"/>
      <w:pPr>
        <w:ind w:left="3075" w:hanging="360"/>
      </w:pPr>
      <w:rPr>
        <w:rFonts w:hint="default"/>
      </w:rPr>
    </w:lvl>
    <w:lvl w:ilvl="4">
      <w:start w:val="0"/>
      <w:numFmt w:val="bullet"/>
      <w:lvlText w:val="•"/>
      <w:lvlJc w:val="left"/>
      <w:pPr>
        <w:ind w:left="3973" w:hanging="360"/>
      </w:pPr>
      <w:rPr>
        <w:rFonts w:hint="default"/>
      </w:rPr>
    </w:lvl>
    <w:lvl w:ilvl="5">
      <w:start w:val="0"/>
      <w:numFmt w:val="bullet"/>
      <w:lvlText w:val="•"/>
      <w:lvlJc w:val="left"/>
      <w:pPr>
        <w:ind w:left="4871" w:hanging="360"/>
      </w:pPr>
      <w:rPr>
        <w:rFonts w:hint="default"/>
      </w:rPr>
    </w:lvl>
    <w:lvl w:ilvl="6">
      <w:start w:val="0"/>
      <w:numFmt w:val="bullet"/>
      <w:lvlText w:val="•"/>
      <w:lvlJc w:val="left"/>
      <w:pPr>
        <w:ind w:left="5768" w:hanging="360"/>
      </w:pPr>
      <w:rPr>
        <w:rFonts w:hint="default"/>
      </w:rPr>
    </w:lvl>
    <w:lvl w:ilvl="7">
      <w:start w:val="0"/>
      <w:numFmt w:val="bullet"/>
      <w:lvlText w:val="•"/>
      <w:lvlJc w:val="left"/>
      <w:pPr>
        <w:ind w:left="6666" w:hanging="360"/>
      </w:pPr>
      <w:rPr>
        <w:rFonts w:hint="default"/>
      </w:rPr>
    </w:lvl>
    <w:lvl w:ilvl="8">
      <w:start w:val="0"/>
      <w:numFmt w:val="bullet"/>
      <w:lvlText w:val="•"/>
      <w:lvlJc w:val="left"/>
      <w:pPr>
        <w:ind w:left="756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08"/>
    </w:pPr>
    <w:rPr>
      <w:rFonts w:ascii="Times New Roman" w:hAnsi="Times New Roman" w:eastAsia="Times New Roman" w:cs="Times New Roman"/>
      <w:sz w:val="24"/>
      <w:szCs w:val="24"/>
    </w:rPr>
  </w:style>
  <w:style w:styleId="Title" w:type="paragraph">
    <w:name w:val="Title"/>
    <w:basedOn w:val="Normal"/>
    <w:uiPriority w:val="1"/>
    <w:qFormat/>
    <w:pPr>
      <w:spacing w:before="66"/>
      <w:ind w:left="2878" w:right="2478"/>
      <w:jc w:val="center"/>
    </w:pPr>
    <w:rPr>
      <w:rFonts w:ascii="Times New Roman" w:hAnsi="Times New Roman" w:eastAsia="Times New Roman" w:cs="Times New Roman"/>
      <w:b/>
      <w:bCs/>
      <w:sz w:val="36"/>
      <w:szCs w:val="36"/>
    </w:rPr>
  </w:style>
  <w:style w:styleId="ListParagraph" w:type="paragraph">
    <w:name w:val="List Paragraph"/>
    <w:basedOn w:val="Normal"/>
    <w:uiPriority w:val="1"/>
    <w:qFormat/>
    <w:pPr>
      <w:ind w:left="920" w:hanging="360"/>
    </w:pPr>
    <w:rPr>
      <w:rFonts w:ascii="Times New Roman" w:hAnsi="Times New Roman" w:eastAsia="Times New Roman" w:cs="Times New Roman"/>
    </w:rPr>
  </w:style>
  <w:style w:styleId="TableParagraph" w:type="paragraph">
    <w:name w:val="Table Paragraph"/>
    <w:basedOn w:val="Normal"/>
    <w:uiPriority w:val="1"/>
    <w:qFormat/>
    <w:pPr>
      <w:spacing w:line="222" w:lineRule="exact"/>
      <w:ind w:left="200"/>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ibr@tcu.edu" TargetMode="External"/><Relationship Id="rId6" Type="http://schemas.openxmlformats.org/officeDocument/2006/relationships/hyperlink" Target="http://www.ibr.tcu.edu/"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hhuskey</dc:creator>
  <dc:title>Microsoft Word - TCU Drug Screen 5-sg (v.Sept14).docx</dc:title>
  <dcterms:created xsi:type="dcterms:W3CDTF">2020-09-07T19:16:36Z</dcterms:created>
  <dcterms:modified xsi:type="dcterms:W3CDTF">2020-09-07T19:16:36Z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2018-06-15T00:00:00Z</vt:filetime>
  </property>
  <property fmtid="{D5CDD505-2E9C-101B-9397-08002B2CF9AE}" pid="3" name="Creator">
    <vt:lpwstr>Acrobat PDFMaker 18 for Word</vt:lpwstr>
  </property>
  <property fmtid="{D5CDD505-2E9C-101B-9397-08002B2CF9AE}" pid="4" name="LastSaved">
    <vt:filetime>2020-09-07T00:00:00Z</vt:filetime>
  </property>
</Properties>
</file>