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TCU Drug Screen 5</w:t>
      </w:r>
    </w:p>
    <w:p>
      <w:pPr>
        <w:spacing w:before="1"/>
        <w:ind w:left="2727" w:right="2510" w:firstLine="0"/>
        <w:jc w:val="center"/>
        <w:rPr>
          <w:i/>
          <w:sz w:val="32"/>
        </w:rPr>
      </w:pPr>
      <w:r>
        <w:rPr>
          <w:i/>
          <w:sz w:val="32"/>
        </w:rPr>
        <w:t>Scoring &amp; Interpretation Guide</w:t>
      </w:r>
    </w:p>
    <w:p>
      <w:pPr>
        <w:pStyle w:val="BodyText"/>
        <w:rPr>
          <w:i/>
          <w:sz w:val="20"/>
        </w:rPr>
      </w:pPr>
    </w:p>
    <w:p>
      <w:pPr>
        <w:spacing w:before="90"/>
        <w:ind w:left="100" w:right="0" w:firstLine="0"/>
        <w:jc w:val="left"/>
        <w:rPr>
          <w:sz w:val="24"/>
        </w:rPr>
      </w:pPr>
      <w:r>
        <w:rPr>
          <w:b/>
          <w:sz w:val="24"/>
          <w:u w:val="thick"/>
        </w:rPr>
        <w:t>Scoring Instructions</w:t>
      </w:r>
      <w:r>
        <w:rPr>
          <w:b/>
          <w:spacing w:val="-60"/>
          <w:sz w:val="24"/>
        </w:rPr>
        <w:t>.</w:t>
      </w:r>
      <w:r>
        <w:rPr>
          <w:rFonts w:ascii="ZWAdobeF"/>
          <w:w w:val="102"/>
          <w:sz w:val="2"/>
        </w:rPr>
        <w:t>U</w:t>
      </w:r>
      <w:r>
        <w:rPr>
          <w:rFonts w:ascii="ZWAdobeF"/>
          <w:sz w:val="2"/>
        </w:rPr>
        <w:t>                 </w:t>
      </w:r>
      <w:r>
        <w:rPr>
          <w:sz w:val="24"/>
        </w:rPr>
        <w:t>The TCU </w:t>
      </w:r>
      <w:r>
        <w:rPr>
          <w:spacing w:val="-1"/>
          <w:sz w:val="24"/>
        </w:rPr>
        <w:t>Dru</w:t>
      </w:r>
      <w:r>
        <w:rPr>
          <w:sz w:val="24"/>
        </w:rPr>
        <w:t>g</w:t>
      </w:r>
      <w:r>
        <w:rPr>
          <w:spacing w:val="-1"/>
          <w:sz w:val="24"/>
        </w:rPr>
        <w:t> Scree</w:t>
      </w:r>
      <w:r>
        <w:rPr>
          <w:sz w:val="24"/>
        </w:rPr>
        <w:t>n 5 is </w:t>
      </w:r>
      <w:r>
        <w:rPr>
          <w:spacing w:val="-1"/>
          <w:sz w:val="24"/>
        </w:rPr>
        <w:t>score</w:t>
      </w:r>
      <w:r>
        <w:rPr>
          <w:sz w:val="24"/>
        </w:rPr>
        <w:t>d to</w:t>
      </w:r>
      <w:r>
        <w:rPr>
          <w:spacing w:val="-1"/>
          <w:sz w:val="24"/>
        </w:rPr>
        <w:t> produc</w:t>
      </w:r>
      <w:r>
        <w:rPr>
          <w:sz w:val="24"/>
        </w:rPr>
        <w:t>e a </w:t>
      </w:r>
      <w:r>
        <w:rPr>
          <w:spacing w:val="-1"/>
          <w:sz w:val="24"/>
        </w:rPr>
        <w:t>singl</w:t>
      </w:r>
      <w:r>
        <w:rPr>
          <w:sz w:val="24"/>
        </w:rPr>
        <w:t>e total </w:t>
      </w:r>
      <w:r>
        <w:rPr>
          <w:spacing w:val="-1"/>
          <w:sz w:val="24"/>
        </w:rPr>
        <w:t>sco</w:t>
      </w:r>
      <w:r>
        <w:rPr>
          <w:sz w:val="24"/>
        </w:rPr>
        <w:t>re which</w:t>
      </w:r>
    </w:p>
    <w:p>
      <w:pPr>
        <w:pStyle w:val="BodyText"/>
        <w:ind w:left="100"/>
      </w:pPr>
      <w:r>
        <w:rPr/>
        <w:t>can range from 0 to 11. To compute the total TCU Drug Screen 5 score:</w:t>
      </w:r>
    </w:p>
    <w:p>
      <w:pPr>
        <w:pStyle w:val="BodyText"/>
        <w:spacing w:before="2"/>
        <w:rPr>
          <w:sz w:val="16"/>
        </w:rPr>
      </w:pPr>
    </w:p>
    <w:p>
      <w:pPr>
        <w:pStyle w:val="ListParagraph"/>
        <w:numPr>
          <w:ilvl w:val="0"/>
          <w:numId w:val="1"/>
        </w:numPr>
        <w:tabs>
          <w:tab w:pos="820" w:val="left" w:leader="none"/>
        </w:tabs>
        <w:spacing w:line="240" w:lineRule="auto" w:before="90" w:after="0"/>
        <w:ind w:left="820" w:right="0" w:hanging="360"/>
        <w:jc w:val="left"/>
        <w:rPr>
          <w:sz w:val="24"/>
        </w:rPr>
      </w:pPr>
      <w:r>
        <w:rPr>
          <w:sz w:val="24"/>
          <w:u w:val="single"/>
        </w:rPr>
        <w:t>Assign 1 point to each “yes” response</w:t>
      </w:r>
      <w:r>
        <w:rPr>
          <w:sz w:val="24"/>
        </w:rPr>
        <w:t> to items 1 through</w:t>
      </w:r>
      <w:r>
        <w:rPr>
          <w:spacing w:val="-3"/>
          <w:sz w:val="24"/>
        </w:rPr>
        <w:t> </w:t>
      </w:r>
      <w:r>
        <w:rPr>
          <w:sz w:val="24"/>
        </w:rPr>
        <w:t>9.</w:t>
      </w:r>
    </w:p>
    <w:p>
      <w:pPr>
        <w:pStyle w:val="ListParagraph"/>
        <w:numPr>
          <w:ilvl w:val="0"/>
          <w:numId w:val="1"/>
        </w:numPr>
        <w:tabs>
          <w:tab w:pos="820" w:val="left" w:leader="none"/>
        </w:tabs>
        <w:spacing w:line="240" w:lineRule="auto" w:before="0" w:after="0"/>
        <w:ind w:left="820" w:right="0" w:hanging="360"/>
        <w:jc w:val="left"/>
        <w:rPr>
          <w:sz w:val="24"/>
        </w:rPr>
      </w:pPr>
      <w:r>
        <w:rPr>
          <w:sz w:val="24"/>
        </w:rPr>
        <w:t>For items 10 and</w:t>
      </w:r>
      <w:r>
        <w:rPr>
          <w:spacing w:val="-1"/>
          <w:sz w:val="24"/>
        </w:rPr>
        <w:t> </w:t>
      </w:r>
      <w:r>
        <w:rPr>
          <w:sz w:val="24"/>
        </w:rPr>
        <w:t>11,</w:t>
      </w:r>
    </w:p>
    <w:p>
      <w:pPr>
        <w:pStyle w:val="ListParagraph"/>
        <w:numPr>
          <w:ilvl w:val="1"/>
          <w:numId w:val="1"/>
        </w:numPr>
        <w:tabs>
          <w:tab w:pos="1180" w:val="left" w:leader="none"/>
        </w:tabs>
        <w:spacing w:line="240" w:lineRule="auto" w:before="0" w:after="0"/>
        <w:ind w:left="1180" w:right="0" w:hanging="360"/>
        <w:jc w:val="left"/>
        <w:rPr>
          <w:sz w:val="24"/>
        </w:rPr>
      </w:pPr>
      <w:r>
        <w:rPr>
          <w:sz w:val="24"/>
        </w:rPr>
        <w:t>assign 1 point if respondent answers “yes” to </w:t>
      </w:r>
      <w:r>
        <w:rPr>
          <w:sz w:val="24"/>
          <w:u w:val="single"/>
        </w:rPr>
        <w:t>either 10a or</w:t>
      </w:r>
      <w:r>
        <w:rPr>
          <w:spacing w:val="-4"/>
          <w:sz w:val="24"/>
          <w:u w:val="single"/>
        </w:rPr>
        <w:t> </w:t>
      </w:r>
      <w:r>
        <w:rPr>
          <w:sz w:val="24"/>
          <w:u w:val="single"/>
        </w:rPr>
        <w:t>10b</w:t>
      </w:r>
      <w:r>
        <w:rPr>
          <w:sz w:val="24"/>
        </w:rPr>
        <w:t>;</w:t>
      </w:r>
    </w:p>
    <w:p>
      <w:pPr>
        <w:pStyle w:val="ListParagraph"/>
        <w:numPr>
          <w:ilvl w:val="1"/>
          <w:numId w:val="1"/>
        </w:numPr>
        <w:tabs>
          <w:tab w:pos="1180" w:val="left" w:leader="none"/>
        </w:tabs>
        <w:spacing w:line="240" w:lineRule="auto" w:before="0" w:after="0"/>
        <w:ind w:left="1180" w:right="0" w:hanging="360"/>
        <w:jc w:val="left"/>
        <w:rPr>
          <w:sz w:val="24"/>
        </w:rPr>
      </w:pPr>
      <w:r>
        <w:rPr>
          <w:sz w:val="24"/>
        </w:rPr>
        <w:t>assign 1 point if respondent answers “yes” to </w:t>
      </w:r>
      <w:r>
        <w:rPr>
          <w:sz w:val="24"/>
          <w:u w:val="single"/>
        </w:rPr>
        <w:t>either 11a or</w:t>
      </w:r>
      <w:r>
        <w:rPr>
          <w:spacing w:val="-4"/>
          <w:sz w:val="24"/>
          <w:u w:val="single"/>
        </w:rPr>
        <w:t> </w:t>
      </w:r>
      <w:r>
        <w:rPr>
          <w:sz w:val="24"/>
          <w:u w:val="single"/>
        </w:rPr>
        <w:t>11b</w:t>
      </w:r>
      <w:r>
        <w:rPr>
          <w:sz w:val="24"/>
        </w:rPr>
        <w:t>.</w:t>
      </w:r>
    </w:p>
    <w:p>
      <w:pPr>
        <w:pStyle w:val="ListParagraph"/>
        <w:numPr>
          <w:ilvl w:val="0"/>
          <w:numId w:val="1"/>
        </w:numPr>
        <w:tabs>
          <w:tab w:pos="820" w:val="left" w:leader="none"/>
        </w:tabs>
        <w:spacing w:line="240" w:lineRule="auto" w:before="0" w:after="0"/>
        <w:ind w:left="820" w:right="611" w:hanging="360"/>
        <w:jc w:val="left"/>
        <w:rPr>
          <w:sz w:val="24"/>
        </w:rPr>
      </w:pPr>
      <w:r>
        <w:rPr>
          <w:sz w:val="24"/>
          <w:u w:val="single"/>
        </w:rPr>
        <w:t>Sum 1-point “yes” responses for items 1 through 11</w:t>
      </w:r>
      <w:r>
        <w:rPr>
          <w:sz w:val="24"/>
        </w:rPr>
        <w:t>, yielding a total score ranging between 0 and 11.</w:t>
      </w:r>
    </w:p>
    <w:p>
      <w:pPr>
        <w:pStyle w:val="ListParagraph"/>
        <w:numPr>
          <w:ilvl w:val="0"/>
          <w:numId w:val="1"/>
        </w:numPr>
        <w:tabs>
          <w:tab w:pos="820" w:val="left" w:leader="none"/>
        </w:tabs>
        <w:spacing w:line="240" w:lineRule="auto" w:before="0" w:after="0"/>
        <w:ind w:left="820" w:right="109" w:hanging="360"/>
        <w:jc w:val="left"/>
        <w:rPr>
          <w:sz w:val="24"/>
        </w:rPr>
      </w:pPr>
      <w:r>
        <w:rPr>
          <w:sz w:val="24"/>
          <w:u w:val="single"/>
        </w:rPr>
        <w:t>Note that items 12 through 17 are not included as part of the total TCUDS 5 score</w:t>
      </w:r>
      <w:r>
        <w:rPr>
          <w:sz w:val="24"/>
        </w:rPr>
        <w:t>; they provide additional information that may be useful in guiding treatment</w:t>
      </w:r>
      <w:r>
        <w:rPr>
          <w:spacing w:val="-4"/>
          <w:sz w:val="24"/>
        </w:rPr>
        <w:t> </w:t>
      </w:r>
      <w:r>
        <w:rPr>
          <w:sz w:val="24"/>
        </w:rPr>
        <w:t>decisions.</w:t>
      </w:r>
    </w:p>
    <w:p>
      <w:pPr>
        <w:pStyle w:val="BodyText"/>
      </w:pPr>
    </w:p>
    <w:p>
      <w:pPr>
        <w:spacing w:line="208" w:lineRule="auto" w:before="0"/>
        <w:ind w:left="200" w:right="378" w:firstLine="0"/>
        <w:jc w:val="both"/>
        <w:rPr>
          <w:sz w:val="24"/>
        </w:rPr>
      </w:pPr>
      <w:r>
        <w:rPr>
          <w:b/>
          <w:sz w:val="24"/>
          <w:u w:val="thick"/>
        </w:rPr>
        <w:t>Interpreting Scores</w:t>
      </w:r>
      <w:r>
        <w:rPr>
          <w:b/>
          <w:sz w:val="24"/>
        </w:rPr>
        <w:t>. </w:t>
      </w:r>
      <w:r>
        <w:rPr>
          <w:sz w:val="24"/>
        </w:rPr>
        <w:t>Interpretation of the TCU Drug Screen V score corresponds with the </w:t>
      </w:r>
      <w:r>
        <w:rPr>
          <w:i/>
          <w:sz w:val="24"/>
        </w:rPr>
        <w:t>Diagnostic and Statistical Manual of Mental Disorders </w:t>
      </w:r>
      <w:r>
        <w:rPr>
          <w:sz w:val="24"/>
        </w:rPr>
        <w:t>(DSM-5) criteria, and is based on a single disorder measured on the following continuum from mild to severe:</w:t>
      </w:r>
    </w:p>
    <w:p>
      <w:pPr>
        <w:pStyle w:val="BodyText"/>
        <w:spacing w:before="10"/>
        <w:rPr>
          <w:sz w:val="20"/>
        </w:rPr>
      </w:pPr>
    </w:p>
    <w:p>
      <w:pPr>
        <w:pStyle w:val="BodyText"/>
        <w:tabs>
          <w:tab w:pos="2259" w:val="left" w:leader="none"/>
        </w:tabs>
        <w:spacing w:line="208" w:lineRule="auto"/>
        <w:ind w:left="200" w:right="2500"/>
      </w:pPr>
      <w:r>
        <w:rPr/>
        <w:t>Mild</w:t>
      </w:r>
      <w:r>
        <w:rPr>
          <w:spacing w:val="-1"/>
        </w:rPr>
        <w:t> </w:t>
      </w:r>
      <w:r>
        <w:rPr/>
        <w:t>disorder:</w:t>
        <w:tab/>
        <w:t>Score of 2-3 points (presence of 2-3 </w:t>
      </w:r>
      <w:r>
        <w:rPr>
          <w:spacing w:val="-3"/>
        </w:rPr>
        <w:t>symptoms) </w:t>
      </w:r>
      <w:r>
        <w:rPr/>
        <w:t>Moderate</w:t>
      </w:r>
      <w:r>
        <w:rPr>
          <w:spacing w:val="-4"/>
        </w:rPr>
        <w:t> </w:t>
      </w:r>
      <w:r>
        <w:rPr/>
        <w:t>disorder:</w:t>
        <w:tab/>
        <w:t>Score of 4-5 points (presence of 4-5</w:t>
      </w:r>
      <w:r>
        <w:rPr>
          <w:spacing w:val="-7"/>
        </w:rPr>
        <w:t> </w:t>
      </w:r>
      <w:r>
        <w:rPr/>
        <w:t>symptoms)</w:t>
      </w:r>
    </w:p>
    <w:p>
      <w:pPr>
        <w:pStyle w:val="BodyText"/>
        <w:tabs>
          <w:tab w:pos="2259" w:val="left" w:leader="none"/>
        </w:tabs>
        <w:spacing w:line="247" w:lineRule="exact"/>
        <w:ind w:left="200"/>
      </w:pPr>
      <w:r>
        <w:rPr/>
        <w:t>Severe</w:t>
      </w:r>
      <w:r>
        <w:rPr>
          <w:spacing w:val="-3"/>
        </w:rPr>
        <w:t> </w:t>
      </w:r>
      <w:r>
        <w:rPr/>
        <w:t>disorder:</w:t>
        <w:tab/>
        <w:t>Score of 6 or more points (presence of 6 or more</w:t>
      </w:r>
      <w:r>
        <w:rPr>
          <w:spacing w:val="-5"/>
        </w:rPr>
        <w:t> </w:t>
      </w:r>
      <w:r>
        <w:rPr/>
        <w:t>symptoms)</w:t>
      </w:r>
    </w:p>
    <w:p>
      <w:pPr>
        <w:pStyle w:val="BodyText"/>
        <w:spacing w:before="5"/>
        <w:rPr>
          <w:sz w:val="27"/>
        </w:rPr>
      </w:pPr>
      <w:r>
        <w:rPr/>
        <w:pict>
          <v:shapetype id="_x0000_t202" o:spt="202" coordsize="21600,21600" path="m,l,21600r21600,l21600,xe">
            <v:stroke joinstyle="miter"/>
            <v:path gradientshapeok="t" o:connecttype="rect"/>
          </v:shapetype>
          <v:shape style="position:absolute;margin-left:120.18pt;margin-top:18.171581pt;width:371.65pt;height:271pt;mso-position-horizontal-relative:page;mso-position-vertical-relative:paragraph;z-index:-15728640;mso-wrap-distance-left:0;mso-wrap-distance-right:0" type="#_x0000_t202" filled="false" stroked="true" strokeweight=".72pt" strokecolor="#000000">
            <v:textbox inset="0,0,0,0">
              <w:txbxContent>
                <w:p>
                  <w:pPr>
                    <w:pStyle w:val="BodyText"/>
                    <w:spacing w:before="137"/>
                    <w:ind w:left="109" w:right="144"/>
                  </w:pPr>
                  <w:r>
                    <w:rPr/>
                    <w:t>The TCU Drug Screen V may be used for personal, educational, research, and/or information purposes. Permission is hereby granted to reproduce and distribute copies of the form for nonprofit educational and nonprofit library purposes, provided that copies are distributed at or below costs and that credit for author, source, and copyright are included on each copy.</w:t>
                  </w:r>
                </w:p>
                <w:p>
                  <w:pPr>
                    <w:pStyle w:val="BodyText"/>
                    <w:ind w:left="109" w:right="371"/>
                  </w:pPr>
                  <w:r>
                    <w:rPr/>
                    <w:t>No material may be copied, downloaded, stored in a retrieval system, or redistributed for any commercial purpose without the express written permission of Texas Christian University. For more information on the TCU Drug Screen V, please contact:</w:t>
                  </w:r>
                </w:p>
                <w:p>
                  <w:pPr>
                    <w:pStyle w:val="BodyText"/>
                  </w:pPr>
                </w:p>
                <w:p>
                  <w:pPr>
                    <w:pStyle w:val="BodyText"/>
                    <w:ind w:left="109"/>
                  </w:pPr>
                  <w:r>
                    <w:rPr/>
                    <w:t>Kevin Knight, Ph.D.</w:t>
                  </w:r>
                </w:p>
                <w:p>
                  <w:pPr>
                    <w:pStyle w:val="BodyText"/>
                    <w:ind w:left="109" w:right="4206"/>
                  </w:pPr>
                  <w:r>
                    <w:rPr/>
                    <w:t>Institute of Behavioral Research Texas Christian University TCU Box</w:t>
                  </w:r>
                  <w:r>
                    <w:rPr>
                      <w:spacing w:val="-2"/>
                    </w:rPr>
                    <w:t> </w:t>
                  </w:r>
                  <w:r>
                    <w:rPr/>
                    <w:t>298740</w:t>
                  </w:r>
                </w:p>
                <w:p>
                  <w:pPr>
                    <w:pStyle w:val="BodyText"/>
                    <w:ind w:left="109" w:right="4636"/>
                  </w:pPr>
                  <w:r>
                    <w:rPr/>
                    <w:t>Fort Worth, TX 76129 (817) 257-7226</w:t>
                  </w:r>
                </w:p>
                <w:p>
                  <w:pPr>
                    <w:pStyle w:val="BodyText"/>
                    <w:ind w:left="109"/>
                  </w:pPr>
                  <w:r>
                    <w:rPr/>
                    <w:t>(817) 257-7290 FAX</w:t>
                  </w:r>
                </w:p>
                <w:p>
                  <w:pPr>
                    <w:pStyle w:val="BodyText"/>
                    <w:ind w:left="109"/>
                  </w:pPr>
                  <w:r>
                    <w:rPr/>
                    <w:t>Em</w:t>
                  </w:r>
                  <w:hyperlink r:id="rId5">
                    <w:r>
                      <w:rPr/>
                      <w:t>ail:</w:t>
                    </w:r>
                    <w:r>
                      <w:rPr>
                        <w:spacing w:val="59"/>
                      </w:rPr>
                      <w:t> </w:t>
                    </w:r>
                    <w:r>
                      <w:rPr/>
                      <w:t>ibr@tcu.edu</w:t>
                    </w:r>
                  </w:hyperlink>
                </w:p>
                <w:p>
                  <w:pPr>
                    <w:pStyle w:val="BodyText"/>
                    <w:spacing w:before="3"/>
                    <w:ind w:left="109"/>
                  </w:pPr>
                  <w:r>
                    <w:rPr/>
                    <w:t>Web site</w:t>
                  </w:r>
                  <w:hyperlink r:id="rId6">
                    <w:r>
                      <w:rPr/>
                      <w:t>:</w:t>
                    </w:r>
                    <w:r>
                      <w:rPr>
                        <w:spacing w:val="59"/>
                      </w:rPr>
                      <w:t> </w:t>
                    </w:r>
                    <w:r>
                      <w:rPr/>
                      <w:t>www.ibr.tcu.edu</w:t>
                    </w:r>
                  </w:hyperlink>
                </w:p>
              </w:txbxContent>
            </v:textbox>
            <v:stroke dashstyle="solid"/>
            <w10:wrap type="topAndBottom"/>
          </v:shape>
        </w:pict>
      </w:r>
    </w:p>
    <w:p>
      <w:pPr>
        <w:pStyle w:val="BodyText"/>
        <w:spacing w:before="3"/>
        <w:rPr>
          <w:sz w:val="13"/>
        </w:rPr>
      </w:pPr>
    </w:p>
    <w:p>
      <w:pPr>
        <w:pStyle w:val="BodyText"/>
        <w:spacing w:before="90"/>
        <w:ind w:left="100" w:right="423"/>
      </w:pPr>
      <w:r>
        <w:rPr>
          <w:b/>
        </w:rPr>
        <w:t>Note: </w:t>
      </w:r>
      <w:r>
        <w:rPr/>
        <w:t>Data currently are being collected to establish the psychometric properties of the TCU Drug Screen V.</w:t>
      </w:r>
    </w:p>
    <w:p>
      <w:pPr>
        <w:pStyle w:val="BodyText"/>
        <w:spacing w:before="3"/>
        <w:rPr>
          <w:sz w:val="33"/>
        </w:rPr>
      </w:pPr>
    </w:p>
    <w:p>
      <w:pPr>
        <w:spacing w:line="227" w:lineRule="exact" w:before="1"/>
        <w:ind w:left="100" w:right="0" w:firstLine="0"/>
        <w:jc w:val="left"/>
        <w:rPr>
          <w:sz w:val="20"/>
        </w:rPr>
      </w:pPr>
      <w:r>
        <w:rPr>
          <w:sz w:val="20"/>
        </w:rPr>
        <w:t>TCU Drug Screen V-sg (v.Sept20)</w:t>
      </w:r>
    </w:p>
    <w:p>
      <w:pPr>
        <w:spacing w:line="227" w:lineRule="exact" w:before="0"/>
        <w:ind w:left="100" w:right="0" w:firstLine="0"/>
        <w:jc w:val="left"/>
        <w:rPr>
          <w:sz w:val="20"/>
        </w:rPr>
      </w:pPr>
      <w:r>
        <w:rPr>
          <w:sz w:val="20"/>
        </w:rPr>
        <w:t>© Copyright 2020 TCU Institute of Behavioral Research, Fort Worth, Texas. All rights reserved.</w:t>
      </w:r>
    </w:p>
    <w:sectPr>
      <w:type w:val="continuous"/>
      <w:pgSz w:w="12240" w:h="15840"/>
      <w:pgMar w:top="1500" w:bottom="280" w:left="13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ZWAdobeF">
    <w:altName w:val="ZWAdobeF"/>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4"/>
        <w:szCs w:val="24"/>
      </w:rPr>
    </w:lvl>
    <w:lvl w:ilvl="1">
      <w:start w:val="1"/>
      <w:numFmt w:val="lowerLetter"/>
      <w:lvlText w:val="%2."/>
      <w:lvlJc w:val="left"/>
      <w:pPr>
        <w:ind w:left="1180"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086" w:hanging="360"/>
      </w:pPr>
      <w:rPr>
        <w:rFonts w:hint="default"/>
      </w:rPr>
    </w:lvl>
    <w:lvl w:ilvl="3">
      <w:start w:val="0"/>
      <w:numFmt w:val="bullet"/>
      <w:lvlText w:val="•"/>
      <w:lvlJc w:val="left"/>
      <w:pPr>
        <w:ind w:left="2993" w:hanging="360"/>
      </w:pPr>
      <w:rPr>
        <w:rFonts w:hint="default"/>
      </w:rPr>
    </w:lvl>
    <w:lvl w:ilvl="4">
      <w:start w:val="0"/>
      <w:numFmt w:val="bullet"/>
      <w:lvlText w:val="•"/>
      <w:lvlJc w:val="left"/>
      <w:pPr>
        <w:ind w:left="3900" w:hanging="360"/>
      </w:pPr>
      <w:rPr>
        <w:rFonts w:hint="default"/>
      </w:rPr>
    </w:lvl>
    <w:lvl w:ilvl="5">
      <w:start w:val="0"/>
      <w:numFmt w:val="bullet"/>
      <w:lvlText w:val="•"/>
      <w:lvlJc w:val="left"/>
      <w:pPr>
        <w:ind w:left="4806" w:hanging="360"/>
      </w:pPr>
      <w:rPr>
        <w:rFonts w:hint="default"/>
      </w:rPr>
    </w:lvl>
    <w:lvl w:ilvl="6">
      <w:start w:val="0"/>
      <w:numFmt w:val="bullet"/>
      <w:lvlText w:val="•"/>
      <w:lvlJc w:val="left"/>
      <w:pPr>
        <w:ind w:left="5713" w:hanging="360"/>
      </w:pPr>
      <w:rPr>
        <w:rFonts w:hint="default"/>
      </w:rPr>
    </w:lvl>
    <w:lvl w:ilvl="7">
      <w:start w:val="0"/>
      <w:numFmt w:val="bullet"/>
      <w:lvlText w:val="•"/>
      <w:lvlJc w:val="left"/>
      <w:pPr>
        <w:ind w:left="6620" w:hanging="360"/>
      </w:pPr>
      <w:rPr>
        <w:rFonts w:hint="default"/>
      </w:rPr>
    </w:lvl>
    <w:lvl w:ilvl="8">
      <w:start w:val="0"/>
      <w:numFmt w:val="bullet"/>
      <w:lvlText w:val="•"/>
      <w:lvlJc w:val="left"/>
      <w:pPr>
        <w:ind w:left="752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Title" w:type="paragraph">
    <w:name w:val="Title"/>
    <w:basedOn w:val="Normal"/>
    <w:uiPriority w:val="1"/>
    <w:qFormat/>
    <w:pPr>
      <w:spacing w:before="58"/>
      <w:ind w:left="2727" w:right="2510"/>
      <w:jc w:val="center"/>
    </w:pPr>
    <w:rPr>
      <w:rFonts w:ascii="Times New Roman" w:hAnsi="Times New Roman" w:eastAsia="Times New Roman" w:cs="Times New Roman"/>
      <w:b/>
      <w:bCs/>
      <w:sz w:val="36"/>
      <w:szCs w:val="36"/>
    </w:rPr>
  </w:style>
  <w:style w:styleId="ListParagraph" w:type="paragraph">
    <w:name w:val="List Paragraph"/>
    <w:basedOn w:val="Normal"/>
    <w:uiPriority w:val="1"/>
    <w:qFormat/>
    <w:pPr>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br@tcu.edu" TargetMode="External"/><Relationship Id="rId6" Type="http://schemas.openxmlformats.org/officeDocument/2006/relationships/hyperlink" Target="http://www.ibr.tc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hhuskey</dc:creator>
  <dc:title>Microsoft Word - TCU Drug Screen V-sg (v.Sept14).docx</dc:title>
  <dcterms:created xsi:type="dcterms:W3CDTF">2020-11-23T15:15:37Z</dcterms:created>
  <dcterms:modified xsi:type="dcterms:W3CDTF">2020-11-23T15:15:37Z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PScript5.dll Version 5.2.2</vt:lpwstr>
  </property>
  <property fmtid="{D5CDD505-2E9C-101B-9397-08002B2CF9AE}" pid="4" name="LastSaved">
    <vt:filetime>2020-11-23T00:00:00Z</vt:filetime>
  </property>
</Properties>
</file>