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170" w:lineRule="auto"/>
        <w:rPr>
          <w:rFonts w:ascii="Yu Gothic UI" w:eastAsia="Yu Gothic UI" w:hint="eastAsia"/>
        </w:rPr>
      </w:pPr>
      <w:r>
        <w:rPr/>
        <w:t>德州基督教大學 </w:t>
      </w:r>
      <w:r>
        <w:rPr>
          <w:rFonts w:ascii="Yu Gothic UI" w:eastAsia="Yu Gothic UI" w:hint="eastAsia"/>
        </w:rPr>
        <w:t>(TCU) </w:t>
      </w:r>
      <w:r>
        <w:rPr/>
        <w:t>藥物篩檢 </w:t>
      </w:r>
      <w:r>
        <w:rPr>
          <w:rFonts w:ascii="Yu Gothic UI" w:eastAsia="Yu Gothic UI" w:hint="eastAsia"/>
        </w:rPr>
        <w:t>5</w:t>
      </w:r>
    </w:p>
    <w:p>
      <w:pPr>
        <w:spacing w:line="393" w:lineRule="exact" w:before="0"/>
        <w:ind w:left="2868" w:right="2473" w:firstLine="0"/>
        <w:jc w:val="center"/>
        <w:rPr>
          <w:sz w:val="33"/>
        </w:rPr>
      </w:pPr>
      <w:r>
        <w:rPr>
          <w:sz w:val="33"/>
        </w:rPr>
        <w:t>計分與分數解讀指南</w:t>
      </w:r>
    </w:p>
    <w:p>
      <w:pPr>
        <w:pStyle w:val="BodyText"/>
        <w:spacing w:line="206" w:lineRule="auto" w:before="293"/>
        <w:ind w:left="200" w:right="112"/>
        <w:jc w:val="both"/>
      </w:pPr>
      <w:r>
        <w:rPr>
          <w:rFonts w:ascii="Microsoft JhengHei" w:eastAsia="Microsoft JhengHei" w:hint="eastAsia"/>
          <w:b/>
          <w:u w:val="thick"/>
        </w:rPr>
        <w:t>計分說明</w:t>
      </w:r>
      <w:r>
        <w:rPr>
          <w:rFonts w:ascii="Microsoft JhengHei" w:eastAsia="Microsoft JhengHei" w:hint="eastAsia"/>
          <w:b/>
          <w:spacing w:val="2"/>
        </w:rPr>
        <w:t>。</w:t>
      </w:r>
      <w:r>
        <w:rPr>
          <w:spacing w:val="-9"/>
        </w:rPr>
        <w:t>德州基督教大學 </w:t>
      </w:r>
      <w:r>
        <w:rPr>
          <w:spacing w:val="-1"/>
          <w:w w:val="62"/>
        </w:rPr>
        <w:t>(</w:t>
      </w:r>
      <w:r>
        <w:rPr>
          <w:spacing w:val="-2"/>
          <w:w w:val="114"/>
        </w:rPr>
        <w:t>T</w:t>
      </w:r>
      <w:r>
        <w:rPr>
          <w:w w:val="88"/>
        </w:rPr>
        <w:t>ex</w:t>
      </w:r>
      <w:r>
        <w:rPr>
          <w:w w:val="78"/>
        </w:rPr>
        <w:t>as</w:t>
      </w:r>
      <w:r>
        <w:rPr>
          <w:spacing w:val="-57"/>
        </w:rPr>
        <w:t> </w:t>
      </w:r>
      <w:r>
        <w:rPr>
          <w:w w:val="125"/>
        </w:rPr>
        <w:t>C</w:t>
      </w:r>
      <w:r>
        <w:rPr>
          <w:w w:val="93"/>
        </w:rPr>
        <w:t>h</w:t>
      </w:r>
      <w:r>
        <w:rPr>
          <w:spacing w:val="-1"/>
          <w:w w:val="62"/>
        </w:rPr>
        <w:t>r</w:t>
      </w:r>
      <w:r>
        <w:rPr>
          <w:spacing w:val="-1"/>
          <w:w w:val="62"/>
        </w:rPr>
        <w:t>i</w:t>
      </w:r>
      <w:r>
        <w:rPr>
          <w:spacing w:val="1"/>
          <w:w w:val="62"/>
        </w:rPr>
        <w:t>s</w:t>
      </w:r>
      <w:r>
        <w:rPr>
          <w:spacing w:val="-1"/>
          <w:w w:val="62"/>
        </w:rPr>
        <w:t>ti</w:t>
      </w:r>
      <w:r>
        <w:rPr>
          <w:w w:val="62"/>
        </w:rPr>
        <w:t>a</w:t>
      </w:r>
      <w:r>
        <w:rPr>
          <w:w w:val="93"/>
        </w:rPr>
        <w:t>n</w:t>
      </w:r>
      <w:r>
        <w:rPr>
          <w:spacing w:val="-58"/>
        </w:rPr>
        <w:t> </w:t>
      </w:r>
      <w:r>
        <w:rPr>
          <w:w w:val="135"/>
        </w:rPr>
        <w:t>U</w:t>
      </w:r>
      <w:r>
        <w:rPr>
          <w:w w:val="73"/>
        </w:rPr>
        <w:t>n</w:t>
      </w:r>
      <w:r>
        <w:rPr>
          <w:spacing w:val="-3"/>
          <w:w w:val="73"/>
        </w:rPr>
        <w:t>i</w:t>
      </w:r>
      <w:r>
        <w:rPr>
          <w:w w:val="88"/>
        </w:rPr>
        <w:t>ve</w:t>
      </w:r>
      <w:r>
        <w:rPr>
          <w:spacing w:val="-1"/>
          <w:w w:val="62"/>
        </w:rPr>
        <w:t>r</w:t>
      </w:r>
      <w:r>
        <w:rPr>
          <w:spacing w:val="1"/>
          <w:w w:val="73"/>
        </w:rPr>
        <w:t>s</w:t>
      </w:r>
      <w:r>
        <w:rPr>
          <w:spacing w:val="-1"/>
          <w:w w:val="52"/>
        </w:rPr>
        <w:t>it</w:t>
      </w:r>
      <w:r>
        <w:rPr>
          <w:w w:val="70"/>
        </w:rPr>
        <w:t>y,</w:t>
      </w:r>
      <w:r>
        <w:rPr>
          <w:spacing w:val="-57"/>
        </w:rPr>
        <w:t> </w:t>
      </w:r>
      <w:r>
        <w:rPr>
          <w:spacing w:val="-2"/>
          <w:w w:val="120"/>
        </w:rPr>
        <w:t>T</w:t>
      </w:r>
      <w:r>
        <w:rPr>
          <w:w w:val="120"/>
        </w:rPr>
        <w:t>C</w:t>
      </w:r>
      <w:r>
        <w:rPr>
          <w:w w:val="135"/>
        </w:rPr>
        <w:t>U</w:t>
      </w:r>
      <w:r>
        <w:rPr>
          <w:w w:val="62"/>
        </w:rPr>
        <w:t>)</w:t>
      </w:r>
      <w:r>
        <w:rPr>
          <w:spacing w:val="-20"/>
        </w:rPr>
        <w:t> 藥物篩檢 </w:t>
      </w:r>
      <w:r>
        <w:rPr>
          <w:w w:val="93"/>
        </w:rPr>
        <w:t>5</w:t>
      </w:r>
      <w:r>
        <w:rPr>
          <w:spacing w:val="-8"/>
        </w:rPr>
        <w:t> 的計分是為了計</w:t>
      </w:r>
      <w:r>
        <w:rPr>
          <w:spacing w:val="-12"/>
        </w:rPr>
        <w:t>算出一個單一總分，總分可從 </w:t>
      </w:r>
      <w:r>
        <w:rPr/>
        <w:t>0</w:t>
      </w:r>
      <w:r>
        <w:rPr>
          <w:spacing w:val="-27"/>
        </w:rPr>
        <w:t> 分至 </w:t>
      </w:r>
      <w:r>
        <w:rPr/>
        <w:t>11</w:t>
      </w:r>
      <w:r>
        <w:rPr>
          <w:spacing w:val="-13"/>
        </w:rPr>
        <w:t> 分不等。如欲計算 </w:t>
      </w:r>
      <w:r>
        <w:rPr>
          <w:w w:val="105"/>
        </w:rPr>
        <w:t>TCU</w:t>
      </w:r>
      <w:r>
        <w:rPr>
          <w:spacing w:val="-60"/>
          <w:w w:val="105"/>
        </w:rPr>
        <w:t> </w:t>
      </w:r>
      <w:r>
        <w:rPr>
          <w:spacing w:val="-11"/>
        </w:rPr>
        <w:t>藥物篩檢 </w:t>
      </w:r>
      <w:r>
        <w:rPr/>
        <w:t>5</w:t>
      </w:r>
      <w:r>
        <w:rPr>
          <w:spacing w:val="-12"/>
        </w:rPr>
        <w:t> 的總分：</w:t>
      </w:r>
    </w:p>
    <w:p>
      <w:pPr>
        <w:pStyle w:val="BodyText"/>
        <w:spacing w:before="8"/>
        <w:ind w:left="0"/>
        <w:rPr>
          <w:sz w:val="22"/>
        </w:rPr>
      </w:pPr>
    </w:p>
    <w:p>
      <w:pPr>
        <w:pStyle w:val="ListParagraph"/>
        <w:numPr>
          <w:ilvl w:val="0"/>
          <w:numId w:val="1"/>
        </w:numPr>
        <w:tabs>
          <w:tab w:pos="923" w:val="left" w:leader="none"/>
        </w:tabs>
        <w:spacing w:line="240" w:lineRule="auto" w:before="0" w:after="0"/>
        <w:ind w:left="922" w:right="0" w:hanging="363"/>
        <w:jc w:val="left"/>
        <w:rPr>
          <w:sz w:val="24"/>
          <w:u w:val="none"/>
        </w:rPr>
      </w:pPr>
      <w:r>
        <w:rPr>
          <w:spacing w:val="-15"/>
          <w:sz w:val="24"/>
          <w:u w:val="single"/>
        </w:rPr>
        <w:t>針對第 </w:t>
      </w:r>
      <w:r>
        <w:rPr>
          <w:sz w:val="24"/>
          <w:u w:val="single"/>
        </w:rPr>
        <w:t>1</w:t>
      </w:r>
      <w:r>
        <w:rPr>
          <w:spacing w:val="-24"/>
          <w:sz w:val="24"/>
          <w:u w:val="single"/>
        </w:rPr>
        <w:t> 題至第 </w:t>
      </w:r>
      <w:r>
        <w:rPr>
          <w:sz w:val="24"/>
          <w:u w:val="single"/>
        </w:rPr>
        <w:t>9</w:t>
      </w:r>
      <w:r>
        <w:rPr>
          <w:spacing w:val="-12"/>
          <w:sz w:val="24"/>
          <w:u w:val="single"/>
        </w:rPr>
        <w:t> 題，每回答一次「是」便得 </w:t>
      </w:r>
      <w:r>
        <w:rPr>
          <w:sz w:val="24"/>
          <w:u w:val="single"/>
        </w:rPr>
        <w:t>1</w:t>
      </w:r>
      <w:r>
        <w:rPr>
          <w:spacing w:val="-20"/>
          <w:sz w:val="24"/>
          <w:u w:val="single"/>
        </w:rPr>
        <w:t> 分。</w:t>
      </w:r>
    </w:p>
    <w:p>
      <w:pPr>
        <w:pStyle w:val="ListParagraph"/>
        <w:numPr>
          <w:ilvl w:val="0"/>
          <w:numId w:val="1"/>
        </w:numPr>
        <w:tabs>
          <w:tab w:pos="920" w:val="left" w:leader="none"/>
        </w:tabs>
        <w:spacing w:line="240" w:lineRule="auto" w:before="5" w:after="0"/>
        <w:ind w:left="920" w:right="0" w:hanging="360"/>
        <w:jc w:val="left"/>
        <w:rPr>
          <w:sz w:val="24"/>
          <w:u w:val="none"/>
        </w:rPr>
      </w:pPr>
      <w:r>
        <w:rPr>
          <w:spacing w:val="-15"/>
          <w:sz w:val="24"/>
          <w:u w:val="none"/>
        </w:rPr>
        <w:t>針對第 </w:t>
      </w:r>
      <w:r>
        <w:rPr>
          <w:sz w:val="24"/>
          <w:u w:val="none"/>
        </w:rPr>
        <w:t>10</w:t>
      </w:r>
      <w:r>
        <w:rPr>
          <w:spacing w:val="-24"/>
          <w:sz w:val="24"/>
          <w:u w:val="none"/>
        </w:rPr>
        <w:t> 題和第 </w:t>
      </w:r>
      <w:r>
        <w:rPr>
          <w:sz w:val="24"/>
          <w:u w:val="none"/>
        </w:rPr>
        <w:t>11</w:t>
      </w:r>
      <w:r>
        <w:rPr>
          <w:spacing w:val="-20"/>
          <w:sz w:val="24"/>
          <w:u w:val="none"/>
        </w:rPr>
        <w:t> 題，</w:t>
      </w:r>
    </w:p>
    <w:p>
      <w:pPr>
        <w:pStyle w:val="ListParagraph"/>
        <w:numPr>
          <w:ilvl w:val="1"/>
          <w:numId w:val="1"/>
        </w:numPr>
        <w:tabs>
          <w:tab w:pos="1280" w:val="left" w:leader="none"/>
        </w:tabs>
        <w:spacing w:line="240" w:lineRule="auto" w:before="4" w:after="0"/>
        <w:ind w:left="1280" w:right="0" w:hanging="360"/>
        <w:jc w:val="left"/>
        <w:rPr>
          <w:sz w:val="24"/>
          <w:u w:val="none"/>
        </w:rPr>
      </w:pPr>
      <w:r>
        <w:rPr>
          <w:spacing w:val="-11"/>
          <w:sz w:val="24"/>
          <w:u w:val="none"/>
        </w:rPr>
        <w:t>如作答者在 </w:t>
      </w:r>
      <w:r>
        <w:rPr>
          <w:spacing w:val="-33"/>
          <w:sz w:val="24"/>
          <w:u w:val="single"/>
        </w:rPr>
        <w:t>第 </w:t>
      </w:r>
      <w:r>
        <w:rPr>
          <w:sz w:val="24"/>
          <w:u w:val="single"/>
        </w:rPr>
        <w:t>10a</w:t>
      </w:r>
      <w:r>
        <w:rPr>
          <w:spacing w:val="-28"/>
          <w:sz w:val="24"/>
          <w:u w:val="single"/>
        </w:rPr>
        <w:t> 題或第 </w:t>
      </w:r>
      <w:r>
        <w:rPr>
          <w:sz w:val="24"/>
          <w:u w:val="single"/>
        </w:rPr>
        <w:t>10b</w:t>
      </w:r>
      <w:r>
        <w:rPr>
          <w:spacing w:val="-33"/>
          <w:sz w:val="24"/>
          <w:u w:val="single"/>
        </w:rPr>
        <w:t> 題</w:t>
      </w:r>
      <w:r>
        <w:rPr>
          <w:spacing w:val="-15"/>
          <w:sz w:val="24"/>
          <w:u w:val="none"/>
        </w:rPr>
        <w:t> 回答「是」，便得 </w:t>
      </w:r>
      <w:r>
        <w:rPr>
          <w:sz w:val="24"/>
          <w:u w:val="none"/>
        </w:rPr>
        <w:t>1</w:t>
      </w:r>
      <w:r>
        <w:rPr>
          <w:spacing w:val="-22"/>
          <w:sz w:val="24"/>
          <w:u w:val="none"/>
        </w:rPr>
        <w:t> 分；</w:t>
      </w:r>
    </w:p>
    <w:p>
      <w:pPr>
        <w:pStyle w:val="ListParagraph"/>
        <w:numPr>
          <w:ilvl w:val="1"/>
          <w:numId w:val="1"/>
        </w:numPr>
        <w:tabs>
          <w:tab w:pos="1280" w:val="left" w:leader="none"/>
        </w:tabs>
        <w:spacing w:line="240" w:lineRule="auto" w:before="5" w:after="0"/>
        <w:ind w:left="1280" w:right="0" w:hanging="360"/>
        <w:jc w:val="left"/>
        <w:rPr>
          <w:sz w:val="24"/>
          <w:u w:val="none"/>
        </w:rPr>
      </w:pPr>
      <w:r>
        <w:rPr>
          <w:spacing w:val="-11"/>
          <w:sz w:val="24"/>
          <w:u w:val="none"/>
        </w:rPr>
        <w:t>如作答者在 </w:t>
      </w:r>
      <w:r>
        <w:rPr>
          <w:spacing w:val="-33"/>
          <w:sz w:val="24"/>
          <w:u w:val="single"/>
        </w:rPr>
        <w:t>第 </w:t>
      </w:r>
      <w:r>
        <w:rPr>
          <w:sz w:val="24"/>
          <w:u w:val="single"/>
        </w:rPr>
        <w:t>11a</w:t>
      </w:r>
      <w:r>
        <w:rPr>
          <w:spacing w:val="-28"/>
          <w:sz w:val="24"/>
          <w:u w:val="single"/>
        </w:rPr>
        <w:t> 題或第 </w:t>
      </w:r>
      <w:r>
        <w:rPr>
          <w:sz w:val="24"/>
          <w:u w:val="single"/>
        </w:rPr>
        <w:t>11b</w:t>
      </w:r>
      <w:r>
        <w:rPr>
          <w:spacing w:val="-33"/>
          <w:sz w:val="24"/>
          <w:u w:val="single"/>
        </w:rPr>
        <w:t> 題</w:t>
      </w:r>
      <w:r>
        <w:rPr>
          <w:spacing w:val="-15"/>
          <w:sz w:val="24"/>
          <w:u w:val="none"/>
        </w:rPr>
        <w:t> 回答「是」，便得 </w:t>
      </w:r>
      <w:r>
        <w:rPr>
          <w:sz w:val="24"/>
          <w:u w:val="none"/>
        </w:rPr>
        <w:t>1</w:t>
      </w:r>
      <w:r>
        <w:rPr>
          <w:spacing w:val="-22"/>
          <w:sz w:val="24"/>
          <w:u w:val="none"/>
        </w:rPr>
        <w:t> 分。</w:t>
      </w:r>
    </w:p>
    <w:p>
      <w:pPr>
        <w:pStyle w:val="ListParagraph"/>
        <w:numPr>
          <w:ilvl w:val="0"/>
          <w:numId w:val="1"/>
        </w:numPr>
        <w:tabs>
          <w:tab w:pos="923" w:val="left" w:leader="none"/>
        </w:tabs>
        <w:spacing w:line="240" w:lineRule="auto" w:before="4" w:after="0"/>
        <w:ind w:left="922" w:right="0" w:hanging="363"/>
        <w:jc w:val="left"/>
        <w:rPr>
          <w:sz w:val="24"/>
          <w:u w:val="none"/>
        </w:rPr>
      </w:pPr>
      <w:r>
        <w:rPr>
          <w:spacing w:val="-21"/>
          <w:sz w:val="24"/>
          <w:u w:val="single"/>
        </w:rPr>
        <w:t>將第 </w:t>
      </w:r>
      <w:r>
        <w:rPr>
          <w:sz w:val="24"/>
          <w:u w:val="single"/>
        </w:rPr>
        <w:t>1</w:t>
      </w:r>
      <w:r>
        <w:rPr>
          <w:spacing w:val="-25"/>
          <w:sz w:val="24"/>
          <w:u w:val="single"/>
        </w:rPr>
        <w:t> 題至第 </w:t>
      </w:r>
      <w:r>
        <w:rPr>
          <w:sz w:val="24"/>
          <w:u w:val="single"/>
        </w:rPr>
        <w:t>11</w:t>
      </w:r>
      <w:r>
        <w:rPr>
          <w:spacing w:val="-12"/>
          <w:sz w:val="24"/>
          <w:u w:val="single"/>
        </w:rPr>
        <w:t> 題當中回答「是」所得的 </w:t>
      </w:r>
      <w:r>
        <w:rPr>
          <w:sz w:val="24"/>
          <w:u w:val="single"/>
        </w:rPr>
        <w:t>1</w:t>
      </w:r>
      <w:r>
        <w:rPr>
          <w:spacing w:val="-13"/>
          <w:sz w:val="24"/>
          <w:u w:val="single"/>
        </w:rPr>
        <w:t> 分加總，</w:t>
      </w:r>
      <w:r>
        <w:rPr>
          <w:spacing w:val="-11"/>
          <w:sz w:val="24"/>
          <w:u w:val="none"/>
        </w:rPr>
        <w:t>以計算出從 </w:t>
      </w:r>
      <w:r>
        <w:rPr>
          <w:sz w:val="24"/>
          <w:u w:val="none"/>
        </w:rPr>
        <w:t>0</w:t>
      </w:r>
      <w:r>
        <w:rPr>
          <w:spacing w:val="-31"/>
          <w:sz w:val="24"/>
          <w:u w:val="none"/>
        </w:rPr>
        <w:t> 分至 </w:t>
      </w:r>
      <w:r>
        <w:rPr>
          <w:sz w:val="24"/>
          <w:u w:val="none"/>
        </w:rPr>
        <w:t>11</w:t>
      </w:r>
    </w:p>
    <w:p>
      <w:pPr>
        <w:pStyle w:val="BodyText"/>
        <w:spacing w:before="5"/>
        <w:ind w:left="920"/>
      </w:pPr>
      <w:r>
        <w:rPr/>
        <w:t>分不等的總分。</w:t>
      </w:r>
    </w:p>
    <w:p>
      <w:pPr>
        <w:pStyle w:val="ListParagraph"/>
        <w:numPr>
          <w:ilvl w:val="0"/>
          <w:numId w:val="1"/>
        </w:numPr>
        <w:tabs>
          <w:tab w:pos="923" w:val="left" w:leader="none"/>
        </w:tabs>
        <w:spacing w:line="242" w:lineRule="auto" w:before="7" w:after="0"/>
        <w:ind w:left="920" w:right="162" w:hanging="360"/>
        <w:jc w:val="both"/>
        <w:rPr>
          <w:sz w:val="24"/>
          <w:u w:val="none"/>
        </w:rPr>
      </w:pPr>
      <w:r>
        <w:rPr>
          <w:spacing w:val="-10"/>
          <w:sz w:val="24"/>
          <w:u w:val="single"/>
        </w:rPr>
        <w:t>請注意，第 </w:t>
      </w:r>
      <w:r>
        <w:rPr>
          <w:w w:val="93"/>
          <w:sz w:val="24"/>
          <w:u w:val="single"/>
        </w:rPr>
        <w:t>12</w:t>
      </w:r>
      <w:r>
        <w:rPr>
          <w:spacing w:val="-24"/>
          <w:sz w:val="24"/>
          <w:u w:val="single"/>
        </w:rPr>
        <w:t> 題至第 </w:t>
      </w:r>
      <w:r>
        <w:rPr>
          <w:w w:val="93"/>
          <w:sz w:val="24"/>
          <w:u w:val="single"/>
        </w:rPr>
        <w:t>17</w:t>
      </w:r>
      <w:r>
        <w:rPr>
          <w:spacing w:val="-11"/>
          <w:sz w:val="24"/>
          <w:u w:val="single"/>
        </w:rPr>
        <w:t> 題不包含在德州基督教大學藥物篩檢 </w:t>
      </w:r>
      <w:r>
        <w:rPr>
          <w:w w:val="135"/>
          <w:sz w:val="24"/>
          <w:u w:val="single"/>
        </w:rPr>
        <w:t>V</w:t>
      </w:r>
      <w:r>
        <w:rPr>
          <w:spacing w:val="-58"/>
          <w:sz w:val="24"/>
          <w:u w:val="single"/>
        </w:rPr>
        <w:t> </w:t>
      </w:r>
      <w:r>
        <w:rPr>
          <w:spacing w:val="-1"/>
          <w:w w:val="62"/>
          <w:sz w:val="24"/>
          <w:u w:val="single"/>
        </w:rPr>
        <w:t>(</w:t>
      </w:r>
      <w:r>
        <w:rPr>
          <w:spacing w:val="-2"/>
          <w:w w:val="114"/>
          <w:sz w:val="24"/>
          <w:u w:val="single"/>
        </w:rPr>
        <w:t>T</w:t>
      </w:r>
      <w:r>
        <w:rPr>
          <w:w w:val="88"/>
          <w:sz w:val="24"/>
          <w:u w:val="single"/>
        </w:rPr>
        <w:t>ex</w:t>
      </w:r>
      <w:r>
        <w:rPr>
          <w:w w:val="83"/>
          <w:sz w:val="24"/>
          <w:u w:val="single"/>
        </w:rPr>
        <w:t>a</w:t>
      </w:r>
      <w:r>
        <w:rPr>
          <w:w w:val="73"/>
          <w:sz w:val="24"/>
          <w:u w:val="single"/>
        </w:rPr>
        <w:t>s</w:t>
      </w:r>
      <w:r>
        <w:rPr>
          <w:spacing w:val="-57"/>
          <w:sz w:val="24"/>
          <w:u w:val="single"/>
        </w:rPr>
        <w:t> </w:t>
      </w:r>
      <w:r>
        <w:rPr>
          <w:w w:val="125"/>
          <w:sz w:val="24"/>
          <w:u w:val="single"/>
        </w:rPr>
        <w:t>C</w:t>
      </w:r>
      <w:r>
        <w:rPr>
          <w:w w:val="93"/>
          <w:sz w:val="24"/>
          <w:u w:val="single"/>
        </w:rPr>
        <w:t>h</w:t>
      </w:r>
      <w:r>
        <w:rPr>
          <w:spacing w:val="-1"/>
          <w:w w:val="62"/>
          <w:sz w:val="24"/>
          <w:u w:val="single"/>
        </w:rPr>
        <w:t>r</w:t>
      </w:r>
      <w:r>
        <w:rPr>
          <w:spacing w:val="-1"/>
          <w:w w:val="62"/>
          <w:sz w:val="24"/>
          <w:u w:val="single"/>
        </w:rPr>
        <w:t>i</w:t>
      </w:r>
      <w:r>
        <w:rPr>
          <w:spacing w:val="1"/>
          <w:w w:val="62"/>
          <w:sz w:val="24"/>
          <w:u w:val="single"/>
        </w:rPr>
        <w:t>s</w:t>
      </w:r>
      <w:r>
        <w:rPr>
          <w:spacing w:val="-1"/>
          <w:w w:val="62"/>
          <w:sz w:val="24"/>
          <w:u w:val="single"/>
        </w:rPr>
        <w:t>ti</w:t>
      </w:r>
      <w:r>
        <w:rPr>
          <w:w w:val="62"/>
          <w:sz w:val="24"/>
          <w:u w:val="single"/>
        </w:rPr>
        <w:t>a</w:t>
      </w:r>
      <w:r>
        <w:rPr>
          <w:w w:val="93"/>
          <w:sz w:val="24"/>
          <w:u w:val="single"/>
        </w:rPr>
        <w:t>n</w:t>
      </w:r>
      <w:r>
        <w:rPr>
          <w:w w:val="93"/>
          <w:sz w:val="24"/>
          <w:u w:val="none"/>
        </w:rPr>
        <w:t> </w:t>
      </w:r>
      <w:r>
        <w:rPr>
          <w:w w:val="135"/>
          <w:sz w:val="24"/>
          <w:u w:val="single"/>
        </w:rPr>
        <w:t>U</w:t>
      </w:r>
      <w:r>
        <w:rPr>
          <w:w w:val="93"/>
          <w:sz w:val="24"/>
          <w:u w:val="single"/>
        </w:rPr>
        <w:t>n</w:t>
      </w:r>
      <w:r>
        <w:rPr>
          <w:spacing w:val="-1"/>
          <w:w w:val="73"/>
          <w:sz w:val="24"/>
          <w:u w:val="single"/>
        </w:rPr>
        <w:t>i</w:t>
      </w:r>
      <w:r>
        <w:rPr>
          <w:w w:val="73"/>
          <w:sz w:val="24"/>
          <w:u w:val="single"/>
        </w:rPr>
        <w:t>v</w:t>
      </w:r>
      <w:r>
        <w:rPr>
          <w:w w:val="83"/>
          <w:sz w:val="24"/>
          <w:u w:val="single"/>
        </w:rPr>
        <w:t>e</w:t>
      </w:r>
      <w:r>
        <w:rPr>
          <w:spacing w:val="-1"/>
          <w:w w:val="62"/>
          <w:sz w:val="24"/>
          <w:u w:val="single"/>
        </w:rPr>
        <w:t>r</w:t>
      </w:r>
      <w:r>
        <w:rPr>
          <w:spacing w:val="1"/>
          <w:w w:val="73"/>
          <w:sz w:val="24"/>
          <w:u w:val="single"/>
        </w:rPr>
        <w:t>s</w:t>
      </w:r>
      <w:r>
        <w:rPr>
          <w:spacing w:val="-1"/>
          <w:w w:val="52"/>
          <w:sz w:val="24"/>
          <w:u w:val="single"/>
        </w:rPr>
        <w:t>it</w:t>
      </w:r>
      <w:r>
        <w:rPr>
          <w:w w:val="93"/>
          <w:sz w:val="24"/>
          <w:u w:val="single"/>
        </w:rPr>
        <w:t>y</w:t>
      </w:r>
      <w:r>
        <w:rPr>
          <w:spacing w:val="-58"/>
          <w:sz w:val="24"/>
          <w:u w:val="single"/>
        </w:rPr>
        <w:t> </w:t>
      </w:r>
      <w:r>
        <w:rPr>
          <w:w w:val="135"/>
          <w:sz w:val="24"/>
          <w:u w:val="single"/>
        </w:rPr>
        <w:t>D</w:t>
      </w:r>
      <w:r>
        <w:rPr>
          <w:spacing w:val="-1"/>
          <w:w w:val="78"/>
          <w:sz w:val="24"/>
          <w:u w:val="single"/>
        </w:rPr>
        <w:t>ru</w:t>
      </w:r>
      <w:r>
        <w:rPr>
          <w:w w:val="93"/>
          <w:sz w:val="24"/>
          <w:u w:val="single"/>
        </w:rPr>
        <w:t>g</w:t>
      </w:r>
      <w:r>
        <w:rPr>
          <w:spacing w:val="-58"/>
          <w:sz w:val="24"/>
          <w:u w:val="single"/>
        </w:rPr>
        <w:t> </w:t>
      </w:r>
      <w:r>
        <w:rPr>
          <w:spacing w:val="-1"/>
          <w:w w:val="104"/>
          <w:sz w:val="24"/>
          <w:u w:val="single"/>
        </w:rPr>
        <w:t>S</w:t>
      </w:r>
      <w:r>
        <w:rPr>
          <w:w w:val="73"/>
          <w:sz w:val="24"/>
          <w:u w:val="single"/>
        </w:rPr>
        <w:t>c</w:t>
      </w:r>
      <w:r>
        <w:rPr>
          <w:spacing w:val="-1"/>
          <w:w w:val="73"/>
          <w:sz w:val="24"/>
          <w:u w:val="single"/>
        </w:rPr>
        <w:t>r</w:t>
      </w:r>
      <w:r>
        <w:rPr>
          <w:w w:val="83"/>
          <w:sz w:val="24"/>
          <w:u w:val="single"/>
        </w:rPr>
        <w:t>ee</w:t>
      </w:r>
      <w:r>
        <w:rPr>
          <w:w w:val="93"/>
          <w:sz w:val="24"/>
          <w:u w:val="single"/>
        </w:rPr>
        <w:t>n</w:t>
      </w:r>
      <w:r>
        <w:rPr>
          <w:spacing w:val="-58"/>
          <w:sz w:val="24"/>
          <w:u w:val="single"/>
        </w:rPr>
        <w:t> </w:t>
      </w:r>
      <w:r>
        <w:rPr>
          <w:w w:val="99"/>
          <w:sz w:val="24"/>
          <w:u w:val="single"/>
        </w:rPr>
        <w:t>V)</w:t>
      </w:r>
      <w:r>
        <w:rPr>
          <w:spacing w:val="-8"/>
          <w:sz w:val="24"/>
          <w:u w:val="none"/>
        </w:rPr>
        <w:t> 的總分當中；這些題目旨在用於提供額外資訊，而這些資訊可能有助於指引治療決定。</w:t>
      </w:r>
    </w:p>
    <w:p>
      <w:pPr>
        <w:spacing w:line="380" w:lineRule="exact" w:before="167"/>
        <w:ind w:left="298" w:right="0" w:firstLine="0"/>
        <w:jc w:val="both"/>
        <w:rPr>
          <w:sz w:val="25"/>
        </w:rPr>
      </w:pPr>
      <w:r>
        <w:rPr>
          <w:rFonts w:ascii="Microsoft JhengHei" w:eastAsia="Microsoft JhengHei" w:hint="eastAsia"/>
          <w:b/>
          <w:w w:val="105"/>
          <w:sz w:val="24"/>
          <w:u w:val="thick"/>
        </w:rPr>
        <w:t>解讀</w:t>
      </w:r>
      <w:r>
        <w:rPr>
          <w:rFonts w:ascii="Microsoft JhengHei" w:eastAsia="Microsoft JhengHei" w:hint="eastAsia"/>
          <w:b/>
          <w:spacing w:val="-2"/>
          <w:w w:val="105"/>
          <w:sz w:val="24"/>
        </w:rPr>
        <w:t>分數。</w:t>
      </w:r>
      <w:r>
        <w:rPr>
          <w:w w:val="105"/>
          <w:sz w:val="24"/>
        </w:rPr>
        <w:t>TCU</w:t>
      </w:r>
      <w:r>
        <w:rPr>
          <w:spacing w:val="-26"/>
          <w:w w:val="105"/>
          <w:sz w:val="24"/>
        </w:rPr>
        <w:t> 藥物篩檢 </w:t>
      </w:r>
      <w:r>
        <w:rPr>
          <w:w w:val="105"/>
          <w:sz w:val="24"/>
        </w:rPr>
        <w:t>5</w:t>
      </w:r>
      <w:r>
        <w:rPr>
          <w:spacing w:val="-12"/>
          <w:w w:val="105"/>
          <w:sz w:val="24"/>
        </w:rPr>
        <w:t> 的分數解讀符合</w:t>
      </w:r>
      <w:r>
        <w:rPr>
          <w:spacing w:val="-14"/>
          <w:w w:val="105"/>
          <w:sz w:val="25"/>
        </w:rPr>
        <w:t>《精神疾病診斷與統計手冊》 第 </w:t>
      </w:r>
      <w:r>
        <w:rPr>
          <w:w w:val="105"/>
          <w:sz w:val="25"/>
        </w:rPr>
        <w:t>5</w:t>
      </w:r>
      <w:r>
        <w:rPr>
          <w:spacing w:val="-39"/>
          <w:w w:val="105"/>
          <w:sz w:val="25"/>
        </w:rPr>
        <w:t> 版</w:t>
      </w:r>
    </w:p>
    <w:p>
      <w:pPr>
        <w:pStyle w:val="BodyText"/>
        <w:spacing w:line="246" w:lineRule="exact"/>
        <w:ind w:left="298"/>
        <w:jc w:val="both"/>
      </w:pPr>
      <w:r>
        <w:rPr>
          <w:spacing w:val="-1"/>
          <w:w w:val="99"/>
        </w:rPr>
        <w:t>(</w:t>
      </w:r>
      <w:r>
        <w:rPr>
          <w:w w:val="99"/>
        </w:rPr>
        <w:t>D</w:t>
      </w:r>
      <w:r>
        <w:rPr>
          <w:spacing w:val="-1"/>
          <w:w w:val="104"/>
        </w:rPr>
        <w:t>S</w:t>
      </w:r>
      <w:r>
        <w:rPr>
          <w:spacing w:val="-2"/>
          <w:w w:val="166"/>
        </w:rPr>
        <w:t>M</w:t>
      </w:r>
      <w:r>
        <w:rPr>
          <w:spacing w:val="-1"/>
          <w:w w:val="62"/>
        </w:rPr>
        <w:t>-</w:t>
      </w:r>
      <w:r>
        <w:rPr>
          <w:w w:val="78"/>
        </w:rPr>
        <w:t>5)</w:t>
      </w:r>
      <w:r>
        <w:rPr>
          <w:spacing w:val="-10"/>
        </w:rPr>
        <w:t> 的標準，且是根據單一疾病來評定下列從輕度至重度不等的嚴重程度：</w:t>
      </w:r>
    </w:p>
    <w:p>
      <w:pPr>
        <w:pStyle w:val="BodyText"/>
        <w:spacing w:before="3"/>
        <w:ind w:left="0"/>
        <w:rPr>
          <w:sz w:val="1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9"/>
        <w:gridCol w:w="4332"/>
      </w:tblGrid>
      <w:tr>
        <w:trPr>
          <w:trHeight w:val="240" w:hRule="atLeast"/>
        </w:trPr>
        <w:tc>
          <w:tcPr>
            <w:tcW w:w="2239" w:type="dxa"/>
          </w:tcPr>
          <w:p>
            <w:pPr>
              <w:pStyle w:val="TableParagraph"/>
              <w:spacing w:line="220" w:lineRule="exact"/>
              <w:ind w:left="200"/>
              <w:rPr>
                <w:sz w:val="24"/>
              </w:rPr>
            </w:pPr>
            <w:r>
              <w:rPr>
                <w:sz w:val="24"/>
              </w:rPr>
              <w:t>輕度疾病：</w:t>
            </w:r>
          </w:p>
        </w:tc>
        <w:tc>
          <w:tcPr>
            <w:tcW w:w="4332" w:type="dxa"/>
          </w:tcPr>
          <w:p>
            <w:pPr>
              <w:pStyle w:val="TableParagraph"/>
              <w:spacing w:line="220" w:lineRule="exact"/>
              <w:ind w:right="239"/>
              <w:jc w:val="right"/>
              <w:rPr>
                <w:sz w:val="24"/>
              </w:rPr>
            </w:pPr>
            <w:r>
              <w:rPr>
                <w:sz w:val="24"/>
              </w:rPr>
              <w:t>分數為 2-3 分（有 2-3 項症狀）</w:t>
            </w:r>
          </w:p>
        </w:tc>
      </w:tr>
      <w:tr>
        <w:trPr>
          <w:trHeight w:val="242" w:hRule="atLeast"/>
        </w:trPr>
        <w:tc>
          <w:tcPr>
            <w:tcW w:w="2239" w:type="dxa"/>
          </w:tcPr>
          <w:p>
            <w:pPr>
              <w:pStyle w:val="TableParagraph"/>
              <w:ind w:left="200"/>
              <w:rPr>
                <w:sz w:val="24"/>
              </w:rPr>
            </w:pPr>
            <w:r>
              <w:rPr>
                <w:sz w:val="24"/>
              </w:rPr>
              <w:t>中度疾病：</w:t>
            </w:r>
          </w:p>
        </w:tc>
        <w:tc>
          <w:tcPr>
            <w:tcW w:w="4332" w:type="dxa"/>
          </w:tcPr>
          <w:p>
            <w:pPr>
              <w:pStyle w:val="TableParagraph"/>
              <w:ind w:right="239"/>
              <w:jc w:val="right"/>
              <w:rPr>
                <w:sz w:val="24"/>
              </w:rPr>
            </w:pPr>
            <w:r>
              <w:rPr>
                <w:sz w:val="24"/>
              </w:rPr>
              <w:t>分數為 4-5 分（有 4-5 項症狀）</w:t>
            </w:r>
          </w:p>
        </w:tc>
      </w:tr>
      <w:tr>
        <w:trPr>
          <w:trHeight w:val="242" w:hRule="atLeast"/>
        </w:trPr>
        <w:tc>
          <w:tcPr>
            <w:tcW w:w="2239" w:type="dxa"/>
          </w:tcPr>
          <w:p>
            <w:pPr>
              <w:pStyle w:val="TableParagraph"/>
              <w:ind w:left="200"/>
              <w:rPr>
                <w:sz w:val="24"/>
              </w:rPr>
            </w:pPr>
            <w:r>
              <w:rPr>
                <w:sz w:val="24"/>
              </w:rPr>
              <w:t>重度疾病：</w:t>
            </w:r>
          </w:p>
        </w:tc>
        <w:tc>
          <w:tcPr>
            <w:tcW w:w="4332" w:type="dxa"/>
          </w:tcPr>
          <w:p>
            <w:pPr>
              <w:pStyle w:val="TableParagraph"/>
              <w:ind w:right="198"/>
              <w:jc w:val="right"/>
              <w:rPr>
                <w:sz w:val="24"/>
              </w:rPr>
            </w:pPr>
            <w:r>
              <w:rPr>
                <w:sz w:val="24"/>
              </w:rPr>
              <w:t>6 分以上（有 6 項以上的症狀）</w:t>
            </w:r>
          </w:p>
        </w:tc>
      </w:tr>
    </w:tbl>
    <w:p>
      <w:pPr>
        <w:pStyle w:val="BodyText"/>
        <w:spacing w:before="7"/>
        <w:ind w:left="0"/>
      </w:pPr>
      <w:r>
        <w:rPr/>
        <w:pict>
          <v:shapetype id="_x0000_t202" o:spt="202" coordsize="21600,21600" path="m,l,21600r21600,l21600,xe">
            <v:stroke joinstyle="miter"/>
            <v:path gradientshapeok="t" o:connecttype="rect"/>
          </v:shapetype>
          <v:shape style="position:absolute;margin-left:120.150002pt;margin-top:18.159374pt;width:371.65pt;height:271pt;mso-position-horizontal-relative:page;mso-position-vertical-relative:paragraph;z-index:-15728640;mso-wrap-distance-left:0;mso-wrap-distance-right:0" type="#_x0000_t202" filled="false" stroked="true" strokeweight=".82pt" strokecolor="#000000">
            <v:textbox inset="0,0,0,0">
              <w:txbxContent>
                <w:p>
                  <w:pPr>
                    <w:pStyle w:val="BodyText"/>
                    <w:spacing w:line="242" w:lineRule="auto" w:before="123"/>
                    <w:ind w:right="314"/>
                    <w:jc w:val="both"/>
                  </w:pPr>
                  <w:r>
                    <w:rPr/>
                    <w:t>TCU</w:t>
                  </w:r>
                  <w:r>
                    <w:rPr>
                      <w:spacing w:val="-13"/>
                    </w:rPr>
                    <w:t> 藥物篩檢 </w:t>
                  </w:r>
                  <w:r>
                    <w:rPr/>
                    <w:t>5</w:t>
                  </w:r>
                  <w:r>
                    <w:rPr>
                      <w:spacing w:val="-7"/>
                    </w:rPr>
                    <w:t> 可用於個人、教育、研究和／或參考用途。特此授</w:t>
                  </w:r>
                  <w:r>
                    <w:rPr/>
                    <w:t>權複製和分發本文件的副本以用於非營利教育用途和非營利收藏用途，但前提是分發副本的費用必須等於或低於成本，且每份副本皆</w:t>
                  </w:r>
                  <w:r>
                    <w:rPr>
                      <w:w w:val="105"/>
                    </w:rPr>
                    <w:t>必須標明作者、資料來源及版權資訊。</w:t>
                  </w:r>
                </w:p>
                <w:p>
                  <w:pPr>
                    <w:pStyle w:val="BodyText"/>
                    <w:spacing w:line="242" w:lineRule="auto" w:before="8"/>
                    <w:ind w:right="585"/>
                    <w:jc w:val="both"/>
                  </w:pPr>
                  <w:r>
                    <w:rPr/>
                    <w:t>若未獲得德州基督教大學的明示書面許可，不得在檢索系統中複製、下載、保存此等資料，或再次分發此等資料以用於任何商業</w:t>
                  </w:r>
                  <w:r>
                    <w:rPr>
                      <w:w w:val="105"/>
                    </w:rPr>
                    <w:t>用途。如需更多有關 TCU 藥物篩檢 5 的資訊，請聯絡：</w:t>
                  </w:r>
                </w:p>
                <w:p>
                  <w:pPr>
                    <w:pStyle w:val="BodyText"/>
                    <w:spacing w:before="5"/>
                    <w:ind w:left="0"/>
                    <w:rPr>
                      <w:sz w:val="22"/>
                    </w:rPr>
                  </w:pPr>
                </w:p>
                <w:p>
                  <w:pPr>
                    <w:pStyle w:val="BodyText"/>
                    <w:rPr>
                      <w:rFonts w:ascii="Times New Roman"/>
                    </w:rPr>
                  </w:pPr>
                  <w:r>
                    <w:rPr>
                      <w:rFonts w:ascii="Times New Roman"/>
                    </w:rPr>
                    <w:t>Kevin Knight, Ph.D.</w:t>
                  </w:r>
                </w:p>
                <w:p>
                  <w:pPr>
                    <w:pStyle w:val="BodyText"/>
                    <w:ind w:right="4210"/>
                    <w:rPr>
                      <w:rFonts w:ascii="Times New Roman"/>
                    </w:rPr>
                  </w:pPr>
                  <w:r>
                    <w:rPr>
                      <w:rFonts w:ascii="Times New Roman"/>
                    </w:rPr>
                    <w:t>Institute of Behavioral</w:t>
                  </w:r>
                  <w:r>
                    <w:rPr>
                      <w:rFonts w:ascii="Times New Roman"/>
                      <w:spacing w:val="-11"/>
                    </w:rPr>
                    <w:t> </w:t>
                  </w:r>
                  <w:r>
                    <w:rPr>
                      <w:rFonts w:ascii="Times New Roman"/>
                    </w:rPr>
                    <w:t>Research Texas Christian University TCU Box</w:t>
                  </w:r>
                  <w:r>
                    <w:rPr>
                      <w:rFonts w:ascii="Times New Roman"/>
                      <w:spacing w:val="-4"/>
                    </w:rPr>
                    <w:t> </w:t>
                  </w:r>
                  <w:r>
                    <w:rPr>
                      <w:rFonts w:ascii="Times New Roman"/>
                    </w:rPr>
                    <w:t>298740</w:t>
                  </w:r>
                </w:p>
                <w:p>
                  <w:pPr>
                    <w:pStyle w:val="BodyText"/>
                    <w:ind w:right="4635"/>
                    <w:rPr>
                      <w:rFonts w:ascii="Times New Roman"/>
                    </w:rPr>
                  </w:pPr>
                  <w:r>
                    <w:rPr>
                      <w:rFonts w:ascii="Times New Roman"/>
                    </w:rPr>
                    <w:t>Fort Worth, TX 76129 (817) 257-7226</w:t>
                  </w:r>
                </w:p>
                <w:p>
                  <w:pPr>
                    <w:pStyle w:val="BodyText"/>
                    <w:rPr>
                      <w:rFonts w:ascii="Times New Roman"/>
                    </w:rPr>
                  </w:pPr>
                  <w:r>
                    <w:rPr>
                      <w:rFonts w:ascii="Times New Roman"/>
                    </w:rPr>
                    <w:t>(817) 257-7290 FAX</w:t>
                  </w:r>
                </w:p>
                <w:p>
                  <w:pPr>
                    <w:pStyle w:val="BodyText"/>
                    <w:spacing w:before="6"/>
                    <w:rPr>
                      <w:rFonts w:ascii="Times New Roman" w:eastAsia="Times New Roman"/>
                    </w:rPr>
                  </w:pPr>
                  <w:r>
                    <w:rPr/>
                    <w:t>電子郵件</w:t>
                  </w:r>
                  <w:hyperlink r:id="rId5">
                    <w:r>
                      <w:rPr>
                        <w:rFonts w:ascii="Times New Roman" w:eastAsia="Times New Roman"/>
                      </w:rPr>
                      <w:t>: ibr@tcu.edu</w:t>
                    </w:r>
                  </w:hyperlink>
                </w:p>
                <w:p>
                  <w:pPr>
                    <w:pStyle w:val="BodyText"/>
                    <w:spacing w:before="4"/>
                    <w:rPr>
                      <w:rFonts w:ascii="Times New Roman" w:eastAsia="Times New Roman"/>
                    </w:rPr>
                  </w:pPr>
                  <w:r>
                    <w:rPr/>
                    <w:t>網站</w:t>
                  </w:r>
                  <w:r>
                    <w:rPr>
                      <w:rFonts w:ascii="Times New Roman" w:eastAsia="Times New Roman"/>
                    </w:rPr>
                    <w:t>: </w:t>
                  </w:r>
                  <w:hyperlink r:id="rId6">
                    <w:r>
                      <w:rPr>
                        <w:rFonts w:ascii="Times New Roman" w:eastAsia="Times New Roman"/>
                      </w:rPr>
                      <w:t>www.ibr.tcu.edu</w:t>
                    </w:r>
                  </w:hyperlink>
                </w:p>
              </w:txbxContent>
            </v:textbox>
            <v:stroke dashstyle="solid"/>
            <w10:wrap type="topAndBottom"/>
          </v:shape>
        </w:pict>
      </w:r>
    </w:p>
    <w:p>
      <w:pPr>
        <w:pStyle w:val="BodyText"/>
        <w:spacing w:before="176"/>
        <w:ind w:left="200"/>
        <w:jc w:val="both"/>
      </w:pPr>
      <w:r>
        <w:rPr>
          <w:rFonts w:ascii="Microsoft JhengHei" w:eastAsia="Microsoft JhengHei" w:hint="eastAsia"/>
          <w:b/>
          <w:w w:val="105"/>
        </w:rPr>
        <w:t>註：</w:t>
      </w:r>
      <w:r>
        <w:rPr>
          <w:w w:val="105"/>
        </w:rPr>
        <w:t>目前正在蒐集資料以確立 TCU 藥物篩檢 5 的心理計量特性。</w:t>
      </w:r>
    </w:p>
    <w:p>
      <w:pPr>
        <w:pStyle w:val="BodyText"/>
        <w:spacing w:before="1"/>
        <w:ind w:left="0"/>
        <w:rPr>
          <w:sz w:val="26"/>
        </w:rPr>
      </w:pPr>
    </w:p>
    <w:p>
      <w:pPr>
        <w:spacing w:line="242" w:lineRule="exact" w:before="0"/>
        <w:ind w:left="200" w:right="0" w:firstLine="0"/>
        <w:jc w:val="both"/>
        <w:rPr>
          <w:sz w:val="20"/>
        </w:rPr>
      </w:pPr>
      <w:r>
        <w:rPr>
          <w:w w:val="105"/>
          <w:sz w:val="20"/>
        </w:rPr>
        <w:t>TCU</w:t>
      </w:r>
      <w:r>
        <w:rPr>
          <w:spacing w:val="-56"/>
          <w:w w:val="105"/>
          <w:sz w:val="20"/>
        </w:rPr>
        <w:t> </w:t>
      </w:r>
      <w:r>
        <w:rPr>
          <w:sz w:val="20"/>
        </w:rPr>
        <w:t>Drug</w:t>
      </w:r>
      <w:r>
        <w:rPr>
          <w:spacing w:val="-52"/>
          <w:sz w:val="20"/>
        </w:rPr>
        <w:t> </w:t>
      </w:r>
      <w:r>
        <w:rPr>
          <w:sz w:val="20"/>
        </w:rPr>
        <w:t>Screen</w:t>
      </w:r>
      <w:r>
        <w:rPr>
          <w:spacing w:val="-52"/>
          <w:sz w:val="20"/>
        </w:rPr>
        <w:t> </w:t>
      </w:r>
      <w:r>
        <w:rPr>
          <w:sz w:val="20"/>
        </w:rPr>
        <w:t>5-sg</w:t>
      </w:r>
      <w:r>
        <w:rPr>
          <w:spacing w:val="-52"/>
          <w:sz w:val="20"/>
        </w:rPr>
        <w:t> </w:t>
      </w:r>
      <w:r>
        <w:rPr>
          <w:spacing w:val="-3"/>
          <w:sz w:val="20"/>
        </w:rPr>
        <w:t>(v.Sep20)</w:t>
      </w:r>
    </w:p>
    <w:p>
      <w:pPr>
        <w:spacing w:line="242" w:lineRule="exact" w:before="0"/>
        <w:ind w:left="200" w:right="0" w:firstLine="0"/>
        <w:jc w:val="both"/>
        <w:rPr>
          <w:sz w:val="20"/>
        </w:rPr>
      </w:pPr>
      <w:r>
        <w:rPr>
          <w:w w:val="120"/>
          <w:sz w:val="20"/>
        </w:rPr>
        <w:t>©</w:t>
      </w:r>
      <w:r>
        <w:rPr>
          <w:spacing w:val="-81"/>
          <w:w w:val="120"/>
          <w:sz w:val="20"/>
        </w:rPr>
        <w:t> </w:t>
      </w:r>
      <w:r>
        <w:rPr>
          <w:w w:val="95"/>
          <w:sz w:val="20"/>
        </w:rPr>
        <w:t>2020</w:t>
      </w:r>
      <w:r>
        <w:rPr>
          <w:spacing w:val="-38"/>
          <w:w w:val="95"/>
          <w:sz w:val="20"/>
        </w:rPr>
        <w:t> 年 </w:t>
      </w:r>
      <w:r>
        <w:rPr>
          <w:w w:val="120"/>
          <w:sz w:val="20"/>
        </w:rPr>
        <w:t>TCU</w:t>
      </w:r>
      <w:r>
        <w:rPr>
          <w:spacing w:val="-81"/>
          <w:w w:val="120"/>
          <w:sz w:val="20"/>
        </w:rPr>
        <w:t> </w:t>
      </w:r>
      <w:r>
        <w:rPr>
          <w:w w:val="95"/>
          <w:sz w:val="20"/>
        </w:rPr>
        <w:t>Institute</w:t>
      </w:r>
      <w:r>
        <w:rPr>
          <w:spacing w:val="-55"/>
          <w:w w:val="95"/>
          <w:sz w:val="20"/>
        </w:rPr>
        <w:t> </w:t>
      </w:r>
      <w:r>
        <w:rPr>
          <w:w w:val="95"/>
          <w:sz w:val="20"/>
        </w:rPr>
        <w:t>of</w:t>
      </w:r>
      <w:r>
        <w:rPr>
          <w:spacing w:val="-56"/>
          <w:w w:val="95"/>
          <w:sz w:val="20"/>
        </w:rPr>
        <w:t> </w:t>
      </w:r>
      <w:r>
        <w:rPr>
          <w:w w:val="95"/>
          <w:sz w:val="20"/>
        </w:rPr>
        <w:t>Behavioral</w:t>
      </w:r>
      <w:r>
        <w:rPr>
          <w:spacing w:val="-54"/>
          <w:w w:val="95"/>
          <w:sz w:val="20"/>
        </w:rPr>
        <w:t> </w:t>
      </w:r>
      <w:r>
        <w:rPr>
          <w:w w:val="95"/>
          <w:sz w:val="20"/>
        </w:rPr>
        <w:t>Research</w:t>
      </w:r>
      <w:r>
        <w:rPr>
          <w:spacing w:val="-29"/>
          <w:w w:val="95"/>
          <w:sz w:val="20"/>
        </w:rPr>
        <w:t>, </w:t>
      </w:r>
      <w:r>
        <w:rPr>
          <w:w w:val="95"/>
          <w:sz w:val="20"/>
        </w:rPr>
        <w:t>Fort</w:t>
      </w:r>
      <w:r>
        <w:rPr>
          <w:spacing w:val="-55"/>
          <w:w w:val="95"/>
          <w:sz w:val="20"/>
        </w:rPr>
        <w:t> </w:t>
      </w:r>
      <w:r>
        <w:rPr>
          <w:w w:val="95"/>
          <w:sz w:val="20"/>
        </w:rPr>
        <w:t>Worth,</w:t>
      </w:r>
      <w:r>
        <w:rPr>
          <w:spacing w:val="-56"/>
          <w:w w:val="95"/>
          <w:sz w:val="20"/>
        </w:rPr>
        <w:t> </w:t>
      </w:r>
      <w:r>
        <w:rPr>
          <w:w w:val="95"/>
          <w:sz w:val="20"/>
        </w:rPr>
        <w:t>Texas</w:t>
      </w:r>
      <w:r>
        <w:rPr>
          <w:spacing w:val="-8"/>
          <w:w w:val="95"/>
          <w:sz w:val="20"/>
        </w:rPr>
        <w:t> 版權所有。保留所有權利。</w:t>
      </w:r>
    </w:p>
    <w:sectPr>
      <w:type w:val="continuous"/>
      <w:pgSz w:w="12240" w:h="15840"/>
      <w:pgMar w:top="760" w:bottom="280" w:left="12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Microsoft JhengHei">
    <w:altName w:val="Microsoft JhengHei"/>
    <w:charset w:val="0"/>
    <w:family w:val="swiss"/>
    <w:pitch w:val="variable"/>
  </w:font>
  <w:font w:name="Yu Gothic UI">
    <w:altName w:val="Yu Gothic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2" w:hanging="363"/>
        <w:jc w:val="left"/>
      </w:pPr>
      <w:rPr>
        <w:rFonts w:hint="default" w:ascii="Times New Roman" w:hAnsi="Times New Roman" w:eastAsia="Times New Roman" w:cs="Times New Roman"/>
        <w:w w:val="100"/>
        <w:sz w:val="24"/>
        <w:szCs w:val="24"/>
      </w:rPr>
    </w:lvl>
    <w:lvl w:ilvl="1">
      <w:start w:val="1"/>
      <w:numFmt w:val="lowerLetter"/>
      <w:lvlText w:val="%2."/>
      <w:lvlJc w:val="left"/>
      <w:pPr>
        <w:ind w:left="1280"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2177" w:hanging="360"/>
      </w:pPr>
      <w:rPr>
        <w:rFonts w:hint="default"/>
      </w:rPr>
    </w:lvl>
    <w:lvl w:ilvl="3">
      <w:start w:val="0"/>
      <w:numFmt w:val="bullet"/>
      <w:lvlText w:val="•"/>
      <w:lvlJc w:val="left"/>
      <w:pPr>
        <w:ind w:left="3075" w:hanging="360"/>
      </w:pPr>
      <w:rPr>
        <w:rFonts w:hint="default"/>
      </w:rPr>
    </w:lvl>
    <w:lvl w:ilvl="4">
      <w:start w:val="0"/>
      <w:numFmt w:val="bullet"/>
      <w:lvlText w:val="•"/>
      <w:lvlJc w:val="left"/>
      <w:pPr>
        <w:ind w:left="3973" w:hanging="360"/>
      </w:pPr>
      <w:rPr>
        <w:rFonts w:hint="default"/>
      </w:rPr>
    </w:lvl>
    <w:lvl w:ilvl="5">
      <w:start w:val="0"/>
      <w:numFmt w:val="bullet"/>
      <w:lvlText w:val="•"/>
      <w:lvlJc w:val="left"/>
      <w:pPr>
        <w:ind w:left="4871" w:hanging="360"/>
      </w:pPr>
      <w:rPr>
        <w:rFonts w:hint="default"/>
      </w:rPr>
    </w:lvl>
    <w:lvl w:ilvl="6">
      <w:start w:val="0"/>
      <w:numFmt w:val="bullet"/>
      <w:lvlText w:val="•"/>
      <w:lvlJc w:val="left"/>
      <w:pPr>
        <w:ind w:left="5768" w:hanging="360"/>
      </w:pPr>
      <w:rPr>
        <w:rFonts w:hint="default"/>
      </w:rPr>
    </w:lvl>
    <w:lvl w:ilvl="7">
      <w:start w:val="0"/>
      <w:numFmt w:val="bullet"/>
      <w:lvlText w:val="•"/>
      <w:lvlJc w:val="left"/>
      <w:pPr>
        <w:ind w:left="6666" w:hanging="360"/>
      </w:pPr>
      <w:rPr>
        <w:rFonts w:hint="default"/>
      </w:rPr>
    </w:lvl>
    <w:lvl w:ilvl="8">
      <w:start w:val="0"/>
      <w:numFmt w:val="bullet"/>
      <w:lvlText w:val="•"/>
      <w:lvlJc w:val="left"/>
      <w:pPr>
        <w:ind w:left="75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ind w:left="108"/>
    </w:pPr>
    <w:rPr>
      <w:rFonts w:ascii="SimSun" w:hAnsi="SimSun" w:eastAsia="SimSun" w:cs="SimSun"/>
      <w:sz w:val="24"/>
      <w:szCs w:val="24"/>
    </w:rPr>
  </w:style>
  <w:style w:styleId="Title" w:type="paragraph">
    <w:name w:val="Title"/>
    <w:basedOn w:val="Normal"/>
    <w:uiPriority w:val="1"/>
    <w:qFormat/>
    <w:pPr>
      <w:spacing w:before="18"/>
      <w:ind w:left="2874" w:right="2473"/>
      <w:jc w:val="center"/>
    </w:pPr>
    <w:rPr>
      <w:rFonts w:ascii="Microsoft JhengHei" w:hAnsi="Microsoft JhengHei" w:eastAsia="Microsoft JhengHei" w:cs="Microsoft JhengHei"/>
      <w:b/>
      <w:bCs/>
      <w:sz w:val="36"/>
      <w:szCs w:val="36"/>
    </w:rPr>
  </w:style>
  <w:style w:styleId="ListParagraph" w:type="paragraph">
    <w:name w:val="List Paragraph"/>
    <w:basedOn w:val="Normal"/>
    <w:uiPriority w:val="1"/>
    <w:qFormat/>
    <w:pPr>
      <w:spacing w:before="4"/>
      <w:ind w:left="920" w:hanging="360"/>
    </w:pPr>
    <w:rPr>
      <w:rFonts w:ascii="SimSun" w:hAnsi="SimSun" w:eastAsia="SimSun" w:cs="SimSun"/>
      <w:u w:val="single" w:color="000000"/>
    </w:rPr>
  </w:style>
  <w:style w:styleId="TableParagraph" w:type="paragraph">
    <w:name w:val="Table Paragraph"/>
    <w:basedOn w:val="Normal"/>
    <w:uiPriority w:val="1"/>
    <w:qFormat/>
    <w:pPr>
      <w:spacing w:line="222" w:lineRule="exac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br@tcu.edu" TargetMode="External"/><Relationship Id="rId6" Type="http://schemas.openxmlformats.org/officeDocument/2006/relationships/hyperlink" Target="http://www.ibr.tcu.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hhuskey</dc:creator>
  <dc:title>Microsoft Word - TCU Drug Screen 5-sg (v.Sept14).docx</dc:title>
  <dcterms:created xsi:type="dcterms:W3CDTF">2020-09-08T17:40:24Z</dcterms:created>
  <dcterms:modified xsi:type="dcterms:W3CDTF">2020-09-08T17:40:24Z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Acrobat PDFMaker 18 for Word</vt:lpwstr>
  </property>
  <property fmtid="{D5CDD505-2E9C-101B-9397-08002B2CF9AE}" pid="4" name="LastSaved">
    <vt:filetime>2020-09-08T00:00:00Z</vt:filetime>
  </property>
</Properties>
</file>