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2" w:lineRule="auto"/>
        <w:rPr>
          <w:b w:val="0"/>
          <w:sz w:val="32"/>
        </w:rPr>
      </w:pPr>
      <w:r>
        <w:rPr/>
        <w:t>TCU</w:t>
      </w:r>
      <w:r>
        <w:rPr>
          <w:spacing w:val="-14"/>
        </w:rPr>
        <w:t> 药物筛查 </w:t>
      </w:r>
      <w:r>
        <w:rPr/>
        <w:t>5 TCU Drug Screen</w:t>
      </w:r>
      <w:r>
        <w:rPr>
          <w:spacing w:val="-24"/>
        </w:rPr>
        <w:t> </w:t>
      </w:r>
      <w:r>
        <w:rPr>
          <w:spacing w:val="-17"/>
        </w:rPr>
        <w:t>5 </w:t>
      </w:r>
      <w:r>
        <w:rPr>
          <w:b w:val="0"/>
          <w:sz w:val="32"/>
        </w:rPr>
        <w:t>评分及解释指引</w:t>
      </w:r>
    </w:p>
    <w:p>
      <w:pPr>
        <w:pStyle w:val="BodyText"/>
        <w:spacing w:before="7"/>
        <w:rPr>
          <w:sz w:val="23"/>
        </w:rPr>
      </w:pPr>
    </w:p>
    <w:p>
      <w:pPr>
        <w:pStyle w:val="BodyText"/>
        <w:ind w:left="200"/>
      </w:pPr>
      <w:r>
        <w:rPr>
          <w:b/>
          <w:u w:val="thick"/>
        </w:rPr>
        <w:t>评分说明</w:t>
      </w:r>
      <w:r>
        <w:rPr>
          <w:b/>
        </w:rPr>
        <w:t>。</w:t>
      </w:r>
      <w:r>
        <w:rPr/>
        <w:t>TCU药物筛查 5 的评分结果为从 0 到 11 的单一总分数。要计算 TCU</w:t>
      </w:r>
    </w:p>
    <w:p>
      <w:pPr>
        <w:pStyle w:val="BodyText"/>
        <w:spacing w:before="5"/>
        <w:ind w:left="200"/>
      </w:pPr>
      <w:r>
        <w:rPr/>
        <w:t>药物筛查 5 的总分数：</w:t>
      </w:r>
    </w:p>
    <w:p>
      <w:pPr>
        <w:pStyle w:val="BodyText"/>
        <w:spacing w:before="11"/>
        <w:rPr>
          <w:sz w:val="21"/>
        </w:rPr>
      </w:pPr>
    </w:p>
    <w:p>
      <w:pPr>
        <w:pStyle w:val="ListParagraph"/>
        <w:numPr>
          <w:ilvl w:val="0"/>
          <w:numId w:val="1"/>
        </w:numPr>
        <w:tabs>
          <w:tab w:pos="923" w:val="left" w:leader="none"/>
        </w:tabs>
        <w:spacing w:line="240" w:lineRule="auto" w:before="0" w:after="0"/>
        <w:ind w:left="922" w:right="0" w:hanging="363"/>
        <w:jc w:val="left"/>
        <w:rPr>
          <w:sz w:val="24"/>
        </w:rPr>
      </w:pPr>
      <w:r>
        <w:rPr>
          <w:sz w:val="24"/>
          <w:u w:val="single"/>
        </w:rPr>
        <w:t>对于项目 1 到 9，每个</w:t>
      </w:r>
      <w:r>
        <w:rPr>
          <w:spacing w:val="-8"/>
          <w:sz w:val="24"/>
        </w:rPr>
        <w:t> 回答“是”计 </w:t>
      </w:r>
      <w:r>
        <w:rPr>
          <w:sz w:val="24"/>
        </w:rPr>
        <w:t>1 分。</w:t>
      </w:r>
    </w:p>
    <w:p>
      <w:pPr>
        <w:pStyle w:val="BodyText"/>
        <w:spacing w:before="2"/>
        <w:ind w:left="560"/>
      </w:pPr>
      <w:r>
        <w:rPr>
          <w:rFonts w:ascii="Times New Roman" w:eastAsia="Times New Roman"/>
        </w:rPr>
        <w:t>2. </w:t>
      </w:r>
      <w:r>
        <w:rPr/>
        <w:t>对于项目 10 和 11，</w:t>
      </w:r>
    </w:p>
    <w:p>
      <w:pPr>
        <w:pStyle w:val="ListParagraph"/>
        <w:numPr>
          <w:ilvl w:val="1"/>
          <w:numId w:val="1"/>
        </w:numPr>
        <w:tabs>
          <w:tab w:pos="1280" w:val="left" w:leader="none"/>
        </w:tabs>
        <w:spacing w:line="240" w:lineRule="auto" w:before="5" w:after="0"/>
        <w:ind w:left="1280" w:right="0" w:hanging="360"/>
        <w:jc w:val="left"/>
        <w:rPr>
          <w:sz w:val="24"/>
        </w:rPr>
      </w:pPr>
      <w:r>
        <w:rPr>
          <w:sz w:val="24"/>
        </w:rPr>
        <w:t>若受访者在 10a 或 10b 中回答“是”，</w:t>
      </w:r>
      <w:r>
        <w:rPr>
          <w:sz w:val="24"/>
          <w:u w:val="single"/>
        </w:rPr>
        <w:t>则计 1 分</w:t>
      </w:r>
      <w:r>
        <w:rPr>
          <w:spacing w:val="-30"/>
          <w:sz w:val="24"/>
        </w:rPr>
        <w:t> ；</w:t>
      </w:r>
    </w:p>
    <w:p>
      <w:pPr>
        <w:pStyle w:val="ListParagraph"/>
        <w:numPr>
          <w:ilvl w:val="1"/>
          <w:numId w:val="1"/>
        </w:numPr>
        <w:tabs>
          <w:tab w:pos="1280" w:val="left" w:leader="none"/>
        </w:tabs>
        <w:spacing w:line="240" w:lineRule="auto" w:before="4" w:after="0"/>
        <w:ind w:left="1280" w:right="0" w:hanging="360"/>
        <w:jc w:val="left"/>
        <w:rPr>
          <w:sz w:val="24"/>
        </w:rPr>
      </w:pPr>
      <w:r>
        <w:rPr>
          <w:sz w:val="24"/>
        </w:rPr>
        <w:t>若受访者在 11a 或 11b 中回答“是”，</w:t>
      </w:r>
      <w:r>
        <w:rPr>
          <w:sz w:val="24"/>
          <w:u w:val="single"/>
        </w:rPr>
        <w:t>则计 1 分</w:t>
      </w:r>
      <w:r>
        <w:rPr>
          <w:spacing w:val="-30"/>
          <w:sz w:val="24"/>
        </w:rPr>
        <w:t> 。</w:t>
      </w:r>
    </w:p>
    <w:p>
      <w:pPr>
        <w:pStyle w:val="ListParagraph"/>
        <w:numPr>
          <w:ilvl w:val="0"/>
          <w:numId w:val="2"/>
        </w:numPr>
        <w:tabs>
          <w:tab w:pos="923" w:val="left" w:leader="none"/>
        </w:tabs>
        <w:spacing w:line="242" w:lineRule="auto" w:before="5" w:after="0"/>
        <w:ind w:left="920" w:right="593" w:hanging="360"/>
        <w:jc w:val="left"/>
        <w:rPr>
          <w:sz w:val="24"/>
        </w:rPr>
      </w:pPr>
      <w:r>
        <w:rPr>
          <w:sz w:val="24"/>
          <w:u w:val="single"/>
        </w:rPr>
        <w:t>汇总 1 到 11 项目中分值</w:t>
      </w:r>
      <w:r>
        <w:rPr>
          <w:spacing w:val="-20"/>
          <w:sz w:val="24"/>
        </w:rPr>
        <w:t> 为 </w:t>
      </w:r>
      <w:r>
        <w:rPr>
          <w:sz w:val="24"/>
        </w:rPr>
        <w:t>1 分的“是”的回答，从而得出 0 到 11</w:t>
      </w:r>
      <w:r>
        <w:rPr>
          <w:spacing w:val="-9"/>
          <w:sz w:val="24"/>
        </w:rPr>
        <w:t> 之</w:t>
      </w:r>
      <w:r>
        <w:rPr>
          <w:sz w:val="24"/>
        </w:rPr>
        <w:t>间的总得分。</w:t>
      </w:r>
    </w:p>
    <w:p>
      <w:pPr>
        <w:pStyle w:val="ListParagraph"/>
        <w:numPr>
          <w:ilvl w:val="0"/>
          <w:numId w:val="2"/>
        </w:numPr>
        <w:tabs>
          <w:tab w:pos="923" w:val="left" w:leader="none"/>
        </w:tabs>
        <w:spacing w:line="242" w:lineRule="auto" w:before="0" w:after="0"/>
        <w:ind w:left="920" w:right="115" w:hanging="360"/>
        <w:jc w:val="left"/>
        <w:rPr>
          <w:sz w:val="24"/>
        </w:rPr>
      </w:pPr>
      <w:r>
        <w:rPr>
          <w:sz w:val="24"/>
          <w:u w:val="single"/>
        </w:rPr>
        <w:t>请注意项目 12 到 17 不在 TCUDS V 总分的范围之内</w:t>
      </w:r>
      <w:r>
        <w:rPr>
          <w:spacing w:val="-9"/>
          <w:sz w:val="24"/>
        </w:rPr>
        <w:t> ；这些内容提供了有助于</w:t>
      </w:r>
      <w:r>
        <w:rPr>
          <w:sz w:val="24"/>
        </w:rPr>
        <w:t>引导做出治疗决定的其他信息。</w:t>
      </w:r>
    </w:p>
    <w:p>
      <w:pPr>
        <w:pStyle w:val="BodyText"/>
        <w:spacing w:before="12"/>
        <w:rPr>
          <w:sz w:val="14"/>
        </w:rPr>
      </w:pPr>
    </w:p>
    <w:p>
      <w:pPr>
        <w:pStyle w:val="BodyText"/>
        <w:spacing w:line="269" w:lineRule="exact" w:before="66"/>
        <w:ind w:left="298"/>
      </w:pPr>
      <w:r>
        <w:rPr>
          <w:b/>
          <w:u w:val="thick"/>
        </w:rPr>
        <w:t>得分诠释 。</w:t>
      </w:r>
      <w:r>
        <w:rPr/>
        <w:t>TCU药物筛查 5 的得分诠释对应于《精神疾病诊断与统计手册》</w:t>
      </w:r>
    </w:p>
    <w:p>
      <w:pPr>
        <w:pStyle w:val="BodyText"/>
        <w:spacing w:line="269" w:lineRule="exact"/>
        <w:ind w:left="294"/>
      </w:pPr>
      <w:r>
        <w:rPr/>
        <w:t>(DSM-5) 标准，并基于通过下列连续标准（从轻度到严重）衡量的单一疾病：</w:t>
      </w:r>
    </w:p>
    <w:p>
      <w:pPr>
        <w:pStyle w:val="BodyText"/>
        <w:spacing w:before="9"/>
        <w:rPr>
          <w:sz w:val="14"/>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73"/>
        <w:gridCol w:w="5313"/>
      </w:tblGrid>
      <w:tr>
        <w:trPr>
          <w:trHeight w:val="240" w:hRule="atLeast"/>
        </w:trPr>
        <w:tc>
          <w:tcPr>
            <w:tcW w:w="2073" w:type="dxa"/>
          </w:tcPr>
          <w:p>
            <w:pPr>
              <w:pStyle w:val="TableParagraph"/>
              <w:spacing w:line="220" w:lineRule="exact"/>
              <w:rPr>
                <w:sz w:val="24"/>
              </w:rPr>
            </w:pPr>
            <w:r>
              <w:rPr>
                <w:sz w:val="24"/>
              </w:rPr>
              <w:t>轻度疾病： </w:t>
            </w:r>
          </w:p>
        </w:tc>
        <w:tc>
          <w:tcPr>
            <w:tcW w:w="5313" w:type="dxa"/>
          </w:tcPr>
          <w:p>
            <w:pPr>
              <w:pStyle w:val="TableParagraph"/>
              <w:spacing w:line="220" w:lineRule="exact"/>
              <w:ind w:left="553"/>
              <w:rPr>
                <w:sz w:val="24"/>
              </w:rPr>
            </w:pPr>
            <w:r>
              <w:rPr>
                <w:sz w:val="24"/>
              </w:rPr>
              <w:t>得分 2-3 分（存在 2-3 种症状） </w:t>
            </w:r>
          </w:p>
        </w:tc>
      </w:tr>
      <w:tr>
        <w:trPr>
          <w:trHeight w:val="241" w:hRule="atLeast"/>
        </w:trPr>
        <w:tc>
          <w:tcPr>
            <w:tcW w:w="2073" w:type="dxa"/>
          </w:tcPr>
          <w:p>
            <w:pPr>
              <w:pStyle w:val="TableParagraph"/>
              <w:rPr>
                <w:sz w:val="24"/>
              </w:rPr>
            </w:pPr>
            <w:r>
              <w:rPr>
                <w:sz w:val="24"/>
              </w:rPr>
              <w:t>中度疾病：</w:t>
            </w:r>
          </w:p>
        </w:tc>
        <w:tc>
          <w:tcPr>
            <w:tcW w:w="5313" w:type="dxa"/>
          </w:tcPr>
          <w:p>
            <w:pPr>
              <w:pStyle w:val="TableParagraph"/>
              <w:ind w:left="553"/>
              <w:rPr>
                <w:sz w:val="24"/>
              </w:rPr>
            </w:pPr>
            <w:r>
              <w:rPr>
                <w:sz w:val="24"/>
              </w:rPr>
              <w:t>得分 4-5 分（存在 4-5 种症状）</w:t>
            </w:r>
          </w:p>
        </w:tc>
      </w:tr>
      <w:tr>
        <w:trPr>
          <w:trHeight w:val="241" w:hRule="atLeast"/>
        </w:trPr>
        <w:tc>
          <w:tcPr>
            <w:tcW w:w="2073" w:type="dxa"/>
          </w:tcPr>
          <w:p>
            <w:pPr>
              <w:pStyle w:val="TableParagraph"/>
              <w:rPr>
                <w:sz w:val="24"/>
              </w:rPr>
            </w:pPr>
            <w:r>
              <w:rPr>
                <w:sz w:val="24"/>
              </w:rPr>
              <w:t>严重疾病：</w:t>
            </w:r>
          </w:p>
        </w:tc>
        <w:tc>
          <w:tcPr>
            <w:tcW w:w="5313" w:type="dxa"/>
          </w:tcPr>
          <w:p>
            <w:pPr>
              <w:pStyle w:val="TableParagraph"/>
              <w:ind w:left="553"/>
              <w:rPr>
                <w:sz w:val="24"/>
              </w:rPr>
            </w:pPr>
            <w:r>
              <w:rPr>
                <w:sz w:val="24"/>
              </w:rPr>
              <w:t>得分 6 分或以上（存在 6 种或更多症状）</w:t>
            </w:r>
          </w:p>
        </w:tc>
      </w:tr>
    </w:tbl>
    <w:p>
      <w:pPr>
        <w:pStyle w:val="BodyText"/>
        <w:spacing w:before="10"/>
        <w:rPr>
          <w:sz w:val="25"/>
        </w:rPr>
      </w:pPr>
      <w:r>
        <w:rPr/>
        <w:pict>
          <v:shapetype id="_x0000_t202" o:spt="202" coordsize="21600,21600" path="m,l,21600r21600,l21600,xe">
            <v:stroke joinstyle="miter"/>
            <v:path gradientshapeok="t" o:connecttype="rect"/>
          </v:shapetype>
          <v:shape style="position:absolute;margin-left:120.150002pt;margin-top:18.932501pt;width:371.65pt;height:271pt;mso-position-horizontal-relative:page;mso-position-vertical-relative:paragraph;z-index:-15728640;mso-wrap-distance-left:0;mso-wrap-distance-right:0" type="#_x0000_t202" filled="false" stroked="true" strokeweight=".82pt" strokecolor="#000000">
            <v:textbox inset="0,0,0,0">
              <w:txbxContent>
                <w:p>
                  <w:pPr>
                    <w:pStyle w:val="BodyText"/>
                    <w:spacing w:line="242" w:lineRule="auto" w:before="136"/>
                    <w:ind w:left="110" w:right="104"/>
                    <w:jc w:val="both"/>
                  </w:pPr>
                  <w:r>
                    <w:rPr/>
                    <w:t>TCU药物筛查 5 可用于个人、教育、研究及／或参考目的。允许出于非营利性教育以及非营利性图书馆藏目的复制并分发本表格副本，但须以成本或低于成本的费率分发副本，且每份副本中须注明作者、资料来源和版权信息。</w:t>
                  </w:r>
                </w:p>
                <w:p>
                  <w:pPr>
                    <w:pStyle w:val="BodyText"/>
                    <w:spacing w:before="4"/>
                    <w:ind w:left="110"/>
                  </w:pPr>
                  <w:r>
                    <w:rPr/>
                    <w:t>未经德克萨斯基督教大学明确书面允许，不得出于商业目的复</w:t>
                  </w:r>
                </w:p>
                <w:p>
                  <w:pPr>
                    <w:pStyle w:val="BodyText"/>
                    <w:spacing w:line="242" w:lineRule="auto" w:before="4"/>
                    <w:ind w:left="110" w:right="104"/>
                  </w:pPr>
                  <w:r>
                    <w:rPr/>
                    <w:t>制、下载、在检索系统中保存或分发任何材料。有关TCU药物筛查 5 的更多信息，请联系：</w:t>
                  </w:r>
                </w:p>
                <w:p>
                  <w:pPr>
                    <w:pStyle w:val="BodyText"/>
                    <w:spacing w:before="1"/>
                    <w:rPr>
                      <w:sz w:val="21"/>
                    </w:rPr>
                  </w:pPr>
                </w:p>
                <w:p>
                  <w:pPr>
                    <w:pStyle w:val="BodyText"/>
                    <w:ind w:left="110"/>
                    <w:rPr>
                      <w:rFonts w:ascii="Times New Roman"/>
                    </w:rPr>
                  </w:pPr>
                  <w:r>
                    <w:rPr>
                      <w:rFonts w:ascii="Times New Roman"/>
                    </w:rPr>
                    <w:t>Kevin Knight, Ph.D.</w:t>
                  </w:r>
                </w:p>
                <w:p>
                  <w:pPr>
                    <w:pStyle w:val="BodyText"/>
                    <w:spacing w:line="249" w:lineRule="auto" w:before="11"/>
                    <w:ind w:left="110" w:right="4219"/>
                    <w:rPr>
                      <w:rFonts w:ascii="Times New Roman"/>
                    </w:rPr>
                  </w:pPr>
                  <w:r>
                    <w:rPr>
                      <w:rFonts w:ascii="Times New Roman"/>
                    </w:rPr>
                    <w:t>Institute of Behavioral </w:t>
                  </w:r>
                  <w:r>
                    <w:rPr>
                      <w:rFonts w:ascii="Times New Roman"/>
                      <w:spacing w:val="-4"/>
                    </w:rPr>
                    <w:t>Research </w:t>
                  </w:r>
                  <w:r>
                    <w:rPr>
                      <w:rFonts w:ascii="Times New Roman"/>
                    </w:rPr>
                    <w:t>Texas Christian University TCU Box</w:t>
                  </w:r>
                  <w:r>
                    <w:rPr>
                      <w:rFonts w:ascii="Times New Roman"/>
                      <w:spacing w:val="-7"/>
                    </w:rPr>
                    <w:t> </w:t>
                  </w:r>
                  <w:r>
                    <w:rPr>
                      <w:rFonts w:ascii="Times New Roman"/>
                    </w:rPr>
                    <w:t>298740</w:t>
                  </w:r>
                </w:p>
                <w:p>
                  <w:pPr>
                    <w:pStyle w:val="BodyText"/>
                    <w:spacing w:line="249" w:lineRule="auto"/>
                    <w:ind w:left="110" w:right="4916"/>
                    <w:rPr>
                      <w:rFonts w:ascii="Times New Roman"/>
                    </w:rPr>
                  </w:pPr>
                  <w:r>
                    <w:rPr>
                      <w:rFonts w:ascii="Times New Roman"/>
                    </w:rPr>
                    <w:t>Fort Worth, TX 76129 (817) 257-7226</w:t>
                  </w:r>
                </w:p>
                <w:p>
                  <w:pPr>
                    <w:pStyle w:val="BodyText"/>
                    <w:spacing w:line="275" w:lineRule="exact"/>
                    <w:ind w:left="110"/>
                    <w:rPr>
                      <w:rFonts w:ascii="Times New Roman"/>
                    </w:rPr>
                  </w:pPr>
                  <w:r>
                    <w:rPr>
                      <w:rFonts w:ascii="Times New Roman"/>
                    </w:rPr>
                    <w:t>(817) 257-7290 FAX</w:t>
                  </w:r>
                </w:p>
                <w:p>
                  <w:pPr>
                    <w:pStyle w:val="BodyText"/>
                    <w:spacing w:line="223" w:lineRule="auto" w:before="21"/>
                    <w:ind w:left="110" w:right="4916"/>
                    <w:rPr>
                      <w:rFonts w:ascii="Times New Roman" w:eastAsia="Times New Roman"/>
                    </w:rPr>
                  </w:pPr>
                  <w:r>
                    <w:rPr/>
                    <w:t>电子邮件：</w:t>
                  </w:r>
                  <w:hyperlink r:id="rId5">
                    <w:r>
                      <w:rPr>
                        <w:rFonts w:ascii="Times New Roman" w:eastAsia="Times New Roman"/>
                        <w:color w:val="0000FF"/>
                        <w:u w:val="single" w:color="0000FF"/>
                      </w:rPr>
                      <w:t>ibr@tcu.edu </w:t>
                    </w:r>
                  </w:hyperlink>
                  <w:r>
                    <w:rPr/>
                    <w:t>网站</w:t>
                  </w:r>
                  <w:r>
                    <w:rPr>
                      <w:rFonts w:ascii="Times New Roman" w:eastAsia="Times New Roman"/>
                    </w:rPr>
                    <w:t>: </w:t>
                  </w:r>
                  <w:hyperlink r:id="rId6">
                    <w:r>
                      <w:rPr>
                        <w:rFonts w:ascii="Times New Roman" w:eastAsia="Times New Roman"/>
                        <w:color w:val="0000FF"/>
                        <w:u w:val="single" w:color="0000FF"/>
                      </w:rPr>
                      <w:t>www.ibr.tcu.edu</w:t>
                    </w:r>
                  </w:hyperlink>
                </w:p>
              </w:txbxContent>
            </v:textbox>
            <v:stroke dashstyle="solid"/>
            <w10:wrap type="topAndBottom"/>
          </v:shape>
        </w:pict>
      </w:r>
    </w:p>
    <w:p>
      <w:pPr>
        <w:pStyle w:val="BodyText"/>
        <w:rPr>
          <w:sz w:val="23"/>
        </w:rPr>
      </w:pPr>
    </w:p>
    <w:p>
      <w:pPr>
        <w:pStyle w:val="BodyText"/>
        <w:spacing w:before="1"/>
        <w:ind w:left="193"/>
      </w:pPr>
      <w:r>
        <w:rPr>
          <w:b/>
        </w:rPr>
        <w:t>注：</w:t>
      </w:r>
      <w:r>
        <w:rPr/>
        <w:t>我们当前正在收集数据以确定 TCU药物筛查 5 的心理测验属性。</w:t>
      </w:r>
    </w:p>
    <w:p>
      <w:pPr>
        <w:pStyle w:val="BodyText"/>
        <w:spacing w:before="10"/>
        <w:rPr>
          <w:sz w:val="27"/>
        </w:rPr>
      </w:pPr>
    </w:p>
    <w:p>
      <w:pPr>
        <w:spacing w:line="240" w:lineRule="exact" w:before="0"/>
        <w:ind w:left="196" w:right="0" w:firstLine="0"/>
        <w:jc w:val="left"/>
        <w:rPr>
          <w:sz w:val="20"/>
        </w:rPr>
      </w:pPr>
      <w:r>
        <w:rPr>
          <w:sz w:val="20"/>
        </w:rPr>
        <w:t>TCU Drug Screen 5-sg （2020年9月版本）</w:t>
      </w:r>
    </w:p>
    <w:p>
      <w:pPr>
        <w:spacing w:line="240" w:lineRule="exact" w:before="0"/>
        <w:ind w:left="196" w:right="0" w:firstLine="0"/>
        <w:jc w:val="left"/>
        <w:rPr>
          <w:sz w:val="20"/>
        </w:rPr>
      </w:pPr>
      <w:r>
        <w:rPr>
          <w:sz w:val="20"/>
        </w:rPr>
        <w:t>©版权所有 2020 德克萨斯基督教大学行为研究所，德克萨斯沃思堡。保留所有权利。</w:t>
      </w:r>
    </w:p>
    <w:sectPr>
      <w:type w:val="continuous"/>
      <w:pgSz w:w="12240" w:h="15840"/>
      <w:pgMar w:top="480" w:bottom="280" w:left="124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920" w:hanging="363"/>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66" w:hanging="363"/>
      </w:pPr>
      <w:rPr>
        <w:rFonts w:hint="default"/>
        <w:lang w:val="en-us" w:eastAsia="en-US" w:bidi="ar-SA"/>
      </w:rPr>
    </w:lvl>
    <w:lvl w:ilvl="2">
      <w:start w:val="0"/>
      <w:numFmt w:val="bullet"/>
      <w:lvlText w:val="•"/>
      <w:lvlJc w:val="left"/>
      <w:pPr>
        <w:ind w:left="2612" w:hanging="363"/>
      </w:pPr>
      <w:rPr>
        <w:rFonts w:hint="default"/>
        <w:lang w:val="en-us" w:eastAsia="en-US" w:bidi="ar-SA"/>
      </w:rPr>
    </w:lvl>
    <w:lvl w:ilvl="3">
      <w:start w:val="0"/>
      <w:numFmt w:val="bullet"/>
      <w:lvlText w:val="•"/>
      <w:lvlJc w:val="left"/>
      <w:pPr>
        <w:ind w:left="3458" w:hanging="363"/>
      </w:pPr>
      <w:rPr>
        <w:rFonts w:hint="default"/>
        <w:lang w:val="en-us" w:eastAsia="en-US" w:bidi="ar-SA"/>
      </w:rPr>
    </w:lvl>
    <w:lvl w:ilvl="4">
      <w:start w:val="0"/>
      <w:numFmt w:val="bullet"/>
      <w:lvlText w:val="•"/>
      <w:lvlJc w:val="left"/>
      <w:pPr>
        <w:ind w:left="4304" w:hanging="363"/>
      </w:pPr>
      <w:rPr>
        <w:rFonts w:hint="default"/>
        <w:lang w:val="en-us" w:eastAsia="en-US" w:bidi="ar-SA"/>
      </w:rPr>
    </w:lvl>
    <w:lvl w:ilvl="5">
      <w:start w:val="0"/>
      <w:numFmt w:val="bullet"/>
      <w:lvlText w:val="•"/>
      <w:lvlJc w:val="left"/>
      <w:pPr>
        <w:ind w:left="5150" w:hanging="363"/>
      </w:pPr>
      <w:rPr>
        <w:rFonts w:hint="default"/>
        <w:lang w:val="en-us" w:eastAsia="en-US" w:bidi="ar-SA"/>
      </w:rPr>
    </w:lvl>
    <w:lvl w:ilvl="6">
      <w:start w:val="0"/>
      <w:numFmt w:val="bullet"/>
      <w:lvlText w:val="•"/>
      <w:lvlJc w:val="left"/>
      <w:pPr>
        <w:ind w:left="5996" w:hanging="363"/>
      </w:pPr>
      <w:rPr>
        <w:rFonts w:hint="default"/>
        <w:lang w:val="en-us" w:eastAsia="en-US" w:bidi="ar-SA"/>
      </w:rPr>
    </w:lvl>
    <w:lvl w:ilvl="7">
      <w:start w:val="0"/>
      <w:numFmt w:val="bullet"/>
      <w:lvlText w:val="•"/>
      <w:lvlJc w:val="left"/>
      <w:pPr>
        <w:ind w:left="6842" w:hanging="363"/>
      </w:pPr>
      <w:rPr>
        <w:rFonts w:hint="default"/>
        <w:lang w:val="en-us" w:eastAsia="en-US" w:bidi="ar-SA"/>
      </w:rPr>
    </w:lvl>
    <w:lvl w:ilvl="8">
      <w:start w:val="0"/>
      <w:numFmt w:val="bullet"/>
      <w:lvlText w:val="•"/>
      <w:lvlJc w:val="left"/>
      <w:pPr>
        <w:ind w:left="7688" w:hanging="363"/>
      </w:pPr>
      <w:rPr>
        <w:rFonts w:hint="default"/>
        <w:lang w:val="en-us" w:eastAsia="en-US" w:bidi="ar-SA"/>
      </w:rPr>
    </w:lvl>
  </w:abstractNum>
  <w:abstractNum w:abstractNumId="0">
    <w:multiLevelType w:val="hybridMultilevel"/>
    <w:lvl w:ilvl="0">
      <w:start w:val="1"/>
      <w:numFmt w:val="decimal"/>
      <w:lvlText w:val="%1."/>
      <w:lvlJc w:val="left"/>
      <w:pPr>
        <w:ind w:left="922" w:hanging="363"/>
        <w:jc w:val="left"/>
      </w:pPr>
      <w:rPr>
        <w:rFonts w:hint="default" w:ascii="Times New Roman" w:hAnsi="Times New Roman" w:eastAsia="Times New Roman" w:cs="Times New Roman"/>
        <w:w w:val="100"/>
        <w:sz w:val="24"/>
        <w:szCs w:val="24"/>
        <w:lang w:val="en-us" w:eastAsia="en-US" w:bidi="ar-SA"/>
      </w:rPr>
    </w:lvl>
    <w:lvl w:ilvl="1">
      <w:start w:val="1"/>
      <w:numFmt w:val="lowerLetter"/>
      <w:lvlText w:val="%2."/>
      <w:lvlJc w:val="left"/>
      <w:pPr>
        <w:ind w:left="1280" w:hanging="360"/>
        <w:jc w:val="left"/>
      </w:pPr>
      <w:rPr>
        <w:rFonts w:hint="default" w:ascii="Times New Roman" w:hAnsi="Times New Roman" w:eastAsia="Times New Roman" w:cs="Times New Roman"/>
        <w:spacing w:val="-1"/>
        <w:w w:val="100"/>
        <w:sz w:val="24"/>
        <w:szCs w:val="24"/>
        <w:lang w:val="en-us" w:eastAsia="en-US" w:bidi="ar-SA"/>
      </w:rPr>
    </w:lvl>
    <w:lvl w:ilvl="2">
      <w:start w:val="0"/>
      <w:numFmt w:val="bullet"/>
      <w:lvlText w:val="•"/>
      <w:lvlJc w:val="left"/>
      <w:pPr>
        <w:ind w:left="2180" w:hanging="360"/>
      </w:pPr>
      <w:rPr>
        <w:rFonts w:hint="default"/>
        <w:lang w:val="en-us" w:eastAsia="en-US" w:bidi="ar-SA"/>
      </w:rPr>
    </w:lvl>
    <w:lvl w:ilvl="3">
      <w:start w:val="0"/>
      <w:numFmt w:val="bullet"/>
      <w:lvlText w:val="•"/>
      <w:lvlJc w:val="left"/>
      <w:pPr>
        <w:ind w:left="3080" w:hanging="360"/>
      </w:pPr>
      <w:rPr>
        <w:rFonts w:hint="default"/>
        <w:lang w:val="en-us" w:eastAsia="en-US" w:bidi="ar-SA"/>
      </w:rPr>
    </w:lvl>
    <w:lvl w:ilvl="4">
      <w:start w:val="0"/>
      <w:numFmt w:val="bullet"/>
      <w:lvlText w:val="•"/>
      <w:lvlJc w:val="left"/>
      <w:pPr>
        <w:ind w:left="3980" w:hanging="360"/>
      </w:pPr>
      <w:rPr>
        <w:rFonts w:hint="default"/>
        <w:lang w:val="en-us" w:eastAsia="en-US" w:bidi="ar-SA"/>
      </w:rPr>
    </w:lvl>
    <w:lvl w:ilvl="5">
      <w:start w:val="0"/>
      <w:numFmt w:val="bullet"/>
      <w:lvlText w:val="•"/>
      <w:lvlJc w:val="left"/>
      <w:pPr>
        <w:ind w:left="4880" w:hanging="360"/>
      </w:pPr>
      <w:rPr>
        <w:rFonts w:hint="default"/>
        <w:lang w:val="en-us" w:eastAsia="en-US" w:bidi="ar-SA"/>
      </w:rPr>
    </w:lvl>
    <w:lvl w:ilvl="6">
      <w:start w:val="0"/>
      <w:numFmt w:val="bullet"/>
      <w:lvlText w:val="•"/>
      <w:lvlJc w:val="left"/>
      <w:pPr>
        <w:ind w:left="5780" w:hanging="360"/>
      </w:pPr>
      <w:rPr>
        <w:rFonts w:hint="default"/>
        <w:lang w:val="en-us" w:eastAsia="en-US" w:bidi="ar-SA"/>
      </w:rPr>
    </w:lvl>
    <w:lvl w:ilvl="7">
      <w:start w:val="0"/>
      <w:numFmt w:val="bullet"/>
      <w:lvlText w:val="•"/>
      <w:lvlJc w:val="left"/>
      <w:pPr>
        <w:ind w:left="6680" w:hanging="360"/>
      </w:pPr>
      <w:rPr>
        <w:rFonts w:hint="default"/>
        <w:lang w:val="en-us" w:eastAsia="en-US" w:bidi="ar-SA"/>
      </w:rPr>
    </w:lvl>
    <w:lvl w:ilvl="8">
      <w:start w:val="0"/>
      <w:numFmt w:val="bullet"/>
      <w:lvlText w:val="•"/>
      <w:lvlJc w:val="left"/>
      <w:pPr>
        <w:ind w:left="758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en-US" w:bidi="ar-SA"/>
    </w:rPr>
  </w:style>
  <w:style w:styleId="BodyText" w:type="paragraph">
    <w:name w:val="Body Text"/>
    <w:basedOn w:val="Normal"/>
    <w:uiPriority w:val="1"/>
    <w:qFormat/>
    <w:pPr/>
    <w:rPr>
      <w:rFonts w:ascii="SimSun" w:hAnsi="SimSun" w:eastAsia="SimSun" w:cs="SimSun"/>
      <w:sz w:val="24"/>
      <w:szCs w:val="24"/>
      <w:lang w:val="en-us" w:eastAsia="en-US" w:bidi="ar-SA"/>
    </w:rPr>
  </w:style>
  <w:style w:styleId="Title" w:type="paragraph">
    <w:name w:val="Title"/>
    <w:basedOn w:val="Normal"/>
    <w:uiPriority w:val="1"/>
    <w:qFormat/>
    <w:pPr>
      <w:spacing w:before="32"/>
      <w:ind w:left="3468" w:right="2849" w:hanging="1"/>
      <w:jc w:val="center"/>
    </w:pPr>
    <w:rPr>
      <w:rFonts w:ascii="SimSun" w:hAnsi="SimSun" w:eastAsia="SimSun" w:cs="SimSun"/>
      <w:b/>
      <w:bCs/>
      <w:sz w:val="36"/>
      <w:szCs w:val="36"/>
      <w:lang w:val="en-us" w:eastAsia="en-US" w:bidi="ar-SA"/>
    </w:rPr>
  </w:style>
  <w:style w:styleId="ListParagraph" w:type="paragraph">
    <w:name w:val="List Paragraph"/>
    <w:basedOn w:val="Normal"/>
    <w:uiPriority w:val="1"/>
    <w:qFormat/>
    <w:pPr>
      <w:ind w:left="920" w:hanging="360"/>
    </w:pPr>
    <w:rPr>
      <w:rFonts w:ascii="SimSun" w:hAnsi="SimSun" w:eastAsia="SimSun" w:cs="SimSun"/>
      <w:lang w:val="en-us" w:eastAsia="en-US" w:bidi="ar-SA"/>
    </w:rPr>
  </w:style>
  <w:style w:styleId="TableParagraph" w:type="paragraph">
    <w:name w:val="Table Paragraph"/>
    <w:basedOn w:val="Normal"/>
    <w:uiPriority w:val="1"/>
    <w:qFormat/>
    <w:pPr>
      <w:spacing w:line="221" w:lineRule="exact"/>
      <w:ind w:left="200"/>
    </w:pPr>
    <w:rPr>
      <w:rFonts w:ascii="SimSun" w:hAnsi="SimSun" w:eastAsia="SimSun" w:cs="SimSu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br@tcu.edu" TargetMode="External"/><Relationship Id="rId6" Type="http://schemas.openxmlformats.org/officeDocument/2006/relationships/hyperlink" Target="http://www.ibr.tcu.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hhuskey</dc:creator>
  <dc:title>Microsoft Word - TCU Drug Screen 5-sg (v.Sept14).docx</dc:title>
  <dcterms:created xsi:type="dcterms:W3CDTF">2020-09-08T17:51:21Z</dcterms:created>
  <dcterms:modified xsi:type="dcterms:W3CDTF">2020-09-08T17:51:21Z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18 for Word</vt:lpwstr>
  </property>
  <property fmtid="{D5CDD505-2E9C-101B-9397-08002B2CF9AE}" pid="4" name="LastSaved">
    <vt:filetime>2020-09-08T00:00:00Z</vt:filetime>
  </property>
</Properties>
</file>